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w:t>
      </w:r>
      <w:bookmarkStart w:id="0" w:name="_Hlk202469165"/>
      <w:r>
        <w:t>2025 Oxford Climate Policy Monitor Survey</w:t>
      </w:r>
      <w:bookmarkEnd w:id="0"/>
      <w:r>
        <w:t xml:space="preserve">.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4"/>
          <w:headerReference w:type="default" r:id="rId15"/>
          <w:footerReference w:type="even" r:id="rId16"/>
          <w:footerReference w:type="default" r:id="rId17"/>
          <w:headerReference w:type="first" r:id="rId18"/>
          <w:footerReference w:type="first" r:id="rId19"/>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06CAC">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06CAC">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06CAC">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06CAC">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06CAC">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06CAC">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06CAC">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06CAC">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06CAC">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06CAC">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06CAC">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06CAC">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06CAC">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06CAC">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06CAC">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06CAC">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06CAC">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06CAC">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06CAC">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06CAC">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06CAC">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06CAC">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06CAC">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06CAC">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06CAC">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06CAC">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06CAC">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06CAC">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06CAC">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06CAC">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06CAC">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06CAC">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06CAC">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06CAC">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06CAC">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06CAC">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06CAC">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06CAC">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06CAC">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06CAC">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06CAC">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06CAC">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06CAC">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06CAC">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06CAC">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06CAC">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lastRenderedPageBreak/>
        <w:t>General Questions</w:t>
      </w:r>
      <w:bookmarkEnd w:id="1"/>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DEAD964"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D681B44"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99343AB" w:rsidR="00093CA9" w:rsidRDefault="00DA68EE" w:rsidP="00093CA9">
            <w:r w:rsidRPr="00DA68EE">
              <w:t>Climate Biennial Exploratory Scenario 202</w:t>
            </w:r>
            <w:r w:rsidR="003E33FB">
              <w:t>1</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1F43008" w:rsidR="00093CA9" w:rsidRDefault="00706CAC" w:rsidP="00093CA9">
            <w:hyperlink r:id="rId20" w:history="1">
              <w:r w:rsidR="003E33FB" w:rsidRPr="00831905">
                <w:rPr>
                  <w:rStyle w:val="Hyperlink"/>
                </w:rPr>
                <w:t>https://web.archive.org/web/20250606214419/https://www.bankofengland.co.uk/stress-testing/2022/results-of-the-2021-climate-biennial-exploratory-scenario</w:t>
              </w:r>
            </w:hyperlink>
            <w:r w:rsidR="00E10810">
              <w:t>;</w:t>
            </w:r>
            <w:r w:rsidR="00737894">
              <w:t xml:space="preserve"> </w:t>
            </w:r>
            <w:hyperlink r:id="rId21" w:history="1">
              <w:r w:rsidR="003E33FB" w:rsidRPr="00831905">
                <w:rPr>
                  <w:rStyle w:val="Hyperlink"/>
                </w:rPr>
                <w:t>https://web.archive.org/web/20220928125853/https://www.bankofengland.co.uk/-/media/boe/files/events/2022/june/climate-biennial-exploratory-scenario-slides.pdf</w:t>
              </w:r>
            </w:hyperlink>
            <w:r w:rsidR="003E33FB">
              <w:t xml:space="preserve"> </w:t>
            </w:r>
            <w:r w:rsidR="00E10810">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AEC6B98" w:rsidR="00093CA9" w:rsidRDefault="00DA68EE"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759A286" w14:textId="31C94DF4" w:rsidR="00F76BC2" w:rsidRDefault="00C107B9" w:rsidP="00C107B9">
            <w:r>
              <w:t>The Climate Biennial Exploratory Scenario (</w:t>
            </w:r>
            <w:r w:rsidR="003E33FB">
              <w:t>“</w:t>
            </w:r>
            <w:r w:rsidRPr="003E33FB">
              <w:rPr>
                <w:b/>
                <w:bCs/>
              </w:rPr>
              <w:t>CBES</w:t>
            </w:r>
            <w:r w:rsidR="003E33FB">
              <w:t>”</w:t>
            </w:r>
            <w:r>
              <w:t xml:space="preserve">) is a </w:t>
            </w:r>
            <w:r w:rsidR="00681989">
              <w:t xml:space="preserve">prudential </w:t>
            </w:r>
            <w:r>
              <w:t xml:space="preserve">policy tool developed by the Bank of England to assess and enhance the UK financial system's resilience to climate-related risks. </w:t>
            </w:r>
            <w:r w:rsidR="00F76BC2" w:rsidRPr="00F76BC2">
              <w:t>Commonly referred to as the “climate stress test”</w:t>
            </w:r>
            <w:r w:rsidR="007958DE">
              <w:t>,</w:t>
            </w:r>
            <w:r w:rsidR="00F76BC2" w:rsidRPr="00F76BC2">
              <w:t xml:space="preserve"> it aims to evaluate participants’ exposures to physical and transition risks, identify challenges to their business models, and strengthen their capacity to manage climate-related financial risks</w:t>
            </w:r>
            <w:r w:rsidR="00F76BC2">
              <w:t>.</w:t>
            </w:r>
          </w:p>
          <w:p w14:paraId="2098C158" w14:textId="72F9DB8A" w:rsidR="00C107B9" w:rsidRDefault="00C107B9" w:rsidP="00C107B9">
            <w:r>
              <w:t>The CBES used three distinct scenarios</w:t>
            </w:r>
            <w:r w:rsidR="00681989">
              <w:t xml:space="preserve">, each spanning 30 years, </w:t>
            </w:r>
            <w:r>
              <w:t>to explore both physical risks (</w:t>
            </w:r>
            <w:r w:rsidR="00681989" w:rsidRPr="00681989">
              <w:t>risks arising from the physical impacts of climate change</w:t>
            </w:r>
            <w:r w:rsidR="00F76BC2">
              <w:t xml:space="preserve"> –</w:t>
            </w:r>
            <w:r w:rsidR="00681989">
              <w:t xml:space="preserve"> e.g.</w:t>
            </w:r>
            <w:r w:rsidR="00F76BC2">
              <w:t>,</w:t>
            </w:r>
            <w:r w:rsidR="00681989" w:rsidRPr="00681989">
              <w:t xml:space="preserve"> extreme weather events</w:t>
            </w:r>
            <w:r>
              <w:t>) and transition risks (</w:t>
            </w:r>
            <w:r w:rsidR="00681989" w:rsidRPr="00681989">
              <w:t>risks arising from a societal and economic shift towards a low-carbon future</w:t>
            </w:r>
            <w:r w:rsidR="00681989">
              <w:t xml:space="preserve"> </w:t>
            </w:r>
            <w:r w:rsidR="00F76BC2">
              <w:t>– e.g.,</w:t>
            </w:r>
            <w:r w:rsidR="00F76BC2" w:rsidRPr="00681989">
              <w:t xml:space="preserve"> </w:t>
            </w:r>
            <w:r w:rsidR="00681989">
              <w:t>net-zero policies</w:t>
            </w:r>
            <w:r>
              <w:t>):</w:t>
            </w:r>
          </w:p>
          <w:p w14:paraId="51F5F9E1" w14:textId="0862A2D7" w:rsidR="00C107B9" w:rsidRDefault="00C107B9" w:rsidP="00C107B9">
            <w:pPr>
              <w:pStyle w:val="ListBullet"/>
            </w:pPr>
            <w:r>
              <w:t>Early Action: An orderly transition beginning in 2021</w:t>
            </w:r>
            <w:r w:rsidR="00F76BC2">
              <w:t>;</w:t>
            </w:r>
          </w:p>
          <w:p w14:paraId="73C8094C" w14:textId="7430E0F0" w:rsidR="00C107B9" w:rsidRDefault="00C107B9" w:rsidP="00C107B9">
            <w:pPr>
              <w:pStyle w:val="ListBullet"/>
            </w:pPr>
            <w:r>
              <w:t>Late Action: A disorderly transition starting in 2031</w:t>
            </w:r>
            <w:r w:rsidR="00F76BC2">
              <w:t>; and</w:t>
            </w:r>
          </w:p>
          <w:p w14:paraId="3980A0FA" w14:textId="5A6DF347" w:rsidR="00C107B9" w:rsidRDefault="00C107B9" w:rsidP="00C107B9">
            <w:pPr>
              <w:pStyle w:val="ListBullet"/>
            </w:pPr>
            <w:r>
              <w:t>No Additional Action: High physical risks with no additional climate policies</w:t>
            </w:r>
            <w:r w:rsidR="00F76BC2">
              <w:t>.</w:t>
            </w:r>
          </w:p>
          <w:p w14:paraId="71B28652" w14:textId="77777777" w:rsidR="00C107B9" w:rsidRDefault="00C107B9" w:rsidP="00093CA9"/>
          <w:p w14:paraId="18257824" w14:textId="0A635E5A"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3254BCE"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DACD49" w:rsidR="00093CA9" w:rsidRDefault="00750F6E" w:rsidP="00093CA9">
            <w:r>
              <w:t xml:space="preserve">X </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E982A58" w:rsidR="00093CA9" w:rsidRDefault="00F76BC2" w:rsidP="00093CA9">
            <w:r>
              <w:t xml:space="preserve">The </w:t>
            </w:r>
            <w:r w:rsidR="0050553F">
              <w:t xml:space="preserve">Bank of England’s </w:t>
            </w:r>
            <w:r>
              <w:t>findings in relation to the 2021 CBES exercise were published in May 2022. The CBES is a regulatory exercise rather than a policy tool or requirement</w:t>
            </w:r>
            <w:r w:rsidR="00B04FD1">
              <w:t xml:space="preserve"> that needs to be approved.</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F44D28C" w:rsidR="00093CA9" w:rsidRPr="00173D7C" w:rsidRDefault="00B04FD1"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1B8C30C"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515340F"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7147A05" w:rsidR="00093CA9" w:rsidRDefault="00F76BC2" w:rsidP="00093CA9">
            <w:r>
              <w:t>Central Bank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6160AFD" w:rsidR="00093CA9" w:rsidRPr="00700BAE" w:rsidRDefault="001A7500" w:rsidP="00093CA9">
            <w:r>
              <w:t>The Bank of England</w:t>
            </w:r>
            <w:r w:rsidR="00700BAE">
              <w:t xml:space="preserve"> (the “</w:t>
            </w:r>
            <w:r w:rsidR="00700BAE">
              <w:rPr>
                <w:b/>
                <w:bCs/>
              </w:rPr>
              <w:t>Bank</w:t>
            </w:r>
            <w:r w:rsidR="00700BAE">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F989635" w:rsidR="00093CA9" w:rsidRPr="006B7B0D" w:rsidRDefault="000179D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47417E36"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3AF6CF3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19D6FC95"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4EB80D8A"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BC73B74" w:rsidR="00093CA9" w:rsidRDefault="000179D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29C18E2" w14:textId="124C9C58" w:rsidR="00700BAE" w:rsidRDefault="00700BAE" w:rsidP="002A1CA9">
            <w:pPr>
              <w:keepNext/>
              <w:rPr>
                <w:color w:val="000000" w:themeColor="text1"/>
              </w:rPr>
            </w:pPr>
            <w:r w:rsidRPr="00700BAE">
              <w:rPr>
                <w:color w:val="000000" w:themeColor="text1"/>
              </w:rPr>
              <w:t>The Bank provides ongoing supervisory engagement by publishing CBES results</w:t>
            </w:r>
            <w:r>
              <w:rPr>
                <w:color w:val="000000" w:themeColor="text1"/>
              </w:rPr>
              <w:t xml:space="preserve"> (Section 2.2: Scenarios)</w:t>
            </w:r>
            <w:r w:rsidRPr="00700BAE">
              <w:rPr>
                <w:color w:val="000000" w:themeColor="text1"/>
              </w:rPr>
              <w:t xml:space="preserve">, offering firm-specific feedback, and helping participants address data gaps </w:t>
            </w:r>
            <w:r>
              <w:rPr>
                <w:color w:val="000000" w:themeColor="text1"/>
              </w:rPr>
              <w:t xml:space="preserve">(Section 6: </w:t>
            </w:r>
            <w:r w:rsidRPr="00700BAE">
              <w:rPr>
                <w:color w:val="000000" w:themeColor="text1"/>
              </w:rPr>
              <w:t xml:space="preserve">Actions and </w:t>
            </w:r>
            <w:r>
              <w:rPr>
                <w:color w:val="000000" w:themeColor="text1"/>
              </w:rPr>
              <w:t>n</w:t>
            </w:r>
            <w:r w:rsidRPr="00700BAE">
              <w:rPr>
                <w:color w:val="000000" w:themeColor="text1"/>
              </w:rPr>
              <w:t xml:space="preserve">ext </w:t>
            </w:r>
            <w:r>
              <w:rPr>
                <w:color w:val="000000" w:themeColor="text1"/>
              </w:rPr>
              <w:t>s</w:t>
            </w:r>
            <w:r w:rsidRPr="00700BAE">
              <w:rPr>
                <w:color w:val="000000" w:themeColor="text1"/>
              </w:rPr>
              <w:t>teps</w:t>
            </w:r>
            <w:r>
              <w:rPr>
                <w:color w:val="000000" w:themeColor="text1"/>
              </w:rPr>
              <w:t>)</w:t>
            </w:r>
            <w:r w:rsidRPr="00700BAE">
              <w:rPr>
                <w:color w:val="000000" w:themeColor="text1"/>
              </w:rPr>
              <w:t xml:space="preserve">. </w:t>
            </w:r>
          </w:p>
          <w:p w14:paraId="5586896B" w14:textId="10F8E325" w:rsidR="00700BAE" w:rsidRDefault="00700BAE" w:rsidP="002A1CA9">
            <w:pPr>
              <w:keepNext/>
              <w:rPr>
                <w:color w:val="000000" w:themeColor="text1"/>
              </w:rPr>
            </w:pPr>
            <w:r>
              <w:rPr>
                <w:color w:val="000000" w:themeColor="text1"/>
              </w:rPr>
              <w:t xml:space="preserve">Findings on climate risk management play a role in the </w:t>
            </w:r>
            <w:r w:rsidR="0050553F">
              <w:t>Prudential Regulation Authority’s (“</w:t>
            </w:r>
            <w:r w:rsidR="0050553F" w:rsidRPr="0050553F">
              <w:rPr>
                <w:b/>
                <w:bCs/>
              </w:rPr>
              <w:t>PRA</w:t>
            </w:r>
            <w:r w:rsidR="0050553F">
              <w:t xml:space="preserve">”) </w:t>
            </w:r>
            <w:r>
              <w:rPr>
                <w:color w:val="000000" w:themeColor="text1"/>
              </w:rPr>
              <w:t xml:space="preserve">assessment of firms against the Bank’s supervisory expectations as set out in SS3/19 (Section 6.2: Supervisory strategy and policy). </w:t>
            </w:r>
          </w:p>
          <w:p w14:paraId="2C2128DB" w14:textId="7CAA7593" w:rsidR="00093CA9" w:rsidRPr="008017F9" w:rsidRDefault="00700BAE" w:rsidP="00494DD1">
            <w:pPr>
              <w:keepNext/>
              <w:rPr>
                <w:color w:val="000000" w:themeColor="text1"/>
              </w:rPr>
            </w:pPr>
            <w:r>
              <w:rPr>
                <w:color w:val="000000" w:themeColor="text1"/>
              </w:rPr>
              <w:t>CBES</w:t>
            </w:r>
            <w:r w:rsidRPr="00700BAE">
              <w:rPr>
                <w:color w:val="000000" w:themeColor="text1"/>
              </w:rPr>
              <w:t xml:space="preserve"> findings </w:t>
            </w:r>
            <w:r>
              <w:rPr>
                <w:color w:val="000000" w:themeColor="text1"/>
              </w:rPr>
              <w:t xml:space="preserve">will also </w:t>
            </w:r>
            <w:r w:rsidRPr="00700BAE">
              <w:rPr>
                <w:color w:val="000000" w:themeColor="text1"/>
              </w:rPr>
              <w:t xml:space="preserve">inform the Financial Policy Committee and </w:t>
            </w:r>
            <w:r>
              <w:rPr>
                <w:color w:val="000000" w:themeColor="text1"/>
              </w:rPr>
              <w:t>PRA’s</w:t>
            </w:r>
            <w:r w:rsidRPr="00700BAE">
              <w:rPr>
                <w:color w:val="000000" w:themeColor="text1"/>
              </w:rPr>
              <w:t xml:space="preserve"> approach </w:t>
            </w:r>
            <w:r>
              <w:rPr>
                <w:color w:val="000000" w:themeColor="text1"/>
              </w:rPr>
              <w:t>to system-wide policy issues relating to climate risk</w:t>
            </w:r>
            <w:r w:rsidRPr="00700BAE">
              <w:rPr>
                <w:color w:val="000000" w:themeColor="text1"/>
              </w:rPr>
              <w:t>, with overarching lessons shared across government and industry</w:t>
            </w:r>
            <w:r>
              <w:rPr>
                <w:color w:val="000000" w:themeColor="text1"/>
              </w:rPr>
              <w:t xml:space="preserve"> (Section 6.1: Informing the Bank’s wider work on climate).</w:t>
            </w:r>
          </w:p>
        </w:tc>
      </w:tr>
    </w:tbl>
    <w:p w14:paraId="6F36141D" w14:textId="193F21DA" w:rsidR="005F3137" w:rsidRDefault="005F3137"/>
    <w:p w14:paraId="4E5E0234" w14:textId="2772435C" w:rsidR="00A40404" w:rsidRDefault="00A40404" w:rsidP="00A40404">
      <w:pPr>
        <w:pStyle w:val="Heading1"/>
      </w:pPr>
      <w:bookmarkStart w:id="2" w:name="_Toc198223601"/>
      <w:r>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100CD76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5FD52C2E"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3131D56B"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BE7A856"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ADD03CD"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961E00D"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4ED299B"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4C5D79C"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51D0141"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C6E78CC"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3F1559F"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447CD482" w:rsidR="00CF5268" w:rsidRDefault="00CF5268" w:rsidP="00DD3144"/>
        </w:tc>
        <w:tc>
          <w:tcPr>
            <w:tcW w:w="1447" w:type="dxa"/>
            <w:vAlign w:val="center"/>
          </w:tcPr>
          <w:p w14:paraId="3EF422E2" w14:textId="19DFD947"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C2DCF77"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066A6EEB"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53CD4F5C"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084B822B"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B83BF36"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5392E660" w:rsidR="004B2D74" w:rsidRDefault="004B2D74" w:rsidP="00DD3144"/>
        </w:tc>
        <w:tc>
          <w:tcPr>
            <w:tcW w:w="1447" w:type="dxa"/>
            <w:vAlign w:val="center"/>
          </w:tcPr>
          <w:p w14:paraId="4535AE01" w14:textId="7AED452D"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EE24E93"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39FA74F"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53DB0019"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6C4FFE48"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6438A648"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287323FF"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A0D39E7"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030A37D9"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40C93BDC"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3A9B674"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368EE9BD"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090F99E0"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BDDDA60"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01E7792"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11C921F"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2EEE038"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48DE74A"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FB742E3"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4CF1B4F0"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F4DF660"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38E9099"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3B06EBBD"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bookmarkStart w:id="5" w:name="_Hlk202468372"/>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bookmarkEnd w:id="5"/>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3B5F65"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97D52" w:rsidRDefault="00107CE2" w:rsidP="00DD3144">
            <w:pPr>
              <w:rPr>
                <w:lang w:val="fr-FR"/>
              </w:rPr>
            </w:pPr>
            <w:r w:rsidRPr="00497D52">
              <w:rPr>
                <w:lang w:val="fr-FR"/>
              </w:rPr>
              <w:t>Minimum revenue (Enter minimum revenue)</w:t>
            </w:r>
          </w:p>
        </w:tc>
        <w:tc>
          <w:tcPr>
            <w:tcW w:w="4910" w:type="dxa"/>
            <w:gridSpan w:val="7"/>
            <w:shd w:val="clear" w:color="auto" w:fill="auto"/>
            <w:vAlign w:val="center"/>
          </w:tcPr>
          <w:p w14:paraId="2518BD70" w14:textId="77777777" w:rsidR="00524D54" w:rsidRPr="00497D52" w:rsidRDefault="00524D54" w:rsidP="00DD3144">
            <w:pPr>
              <w:rPr>
                <w:lang w:val="fr-FR"/>
              </w:rPr>
            </w:pPr>
          </w:p>
        </w:tc>
      </w:tr>
      <w:tr w:rsidR="00524D54" w:rsidRPr="00DA68E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9DE0056"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5C25369"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A2670F6"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8EDC114" w14:textId="58093EFD" w:rsidR="00D17F95" w:rsidRDefault="00D17F95" w:rsidP="00D17F95">
            <w:pPr>
              <w:spacing w:line="276" w:lineRule="auto"/>
              <w:rPr>
                <w:color w:val="000000" w:themeColor="text1"/>
              </w:rPr>
            </w:pPr>
          </w:p>
          <w:p w14:paraId="7A457096" w14:textId="4FC83AA0" w:rsidR="00654950" w:rsidRDefault="00936356" w:rsidP="00DD3144">
            <w:pPr>
              <w:spacing w:line="276" w:lineRule="auto"/>
              <w:rPr>
                <w:color w:val="000000" w:themeColor="text1"/>
              </w:rPr>
            </w:pPr>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892FDFB"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2016A5DA" w:rsidR="008063B5" w:rsidRDefault="002F4391" w:rsidP="00DD3144">
            <w:pPr>
              <w:spacing w:line="276" w:lineRule="auto"/>
              <w:rPr>
                <w:color w:val="000000" w:themeColor="text1"/>
              </w:rPr>
            </w:pPr>
            <w:r>
              <w:rPr>
                <w:color w:val="000000" w:themeColor="text1"/>
              </w:rPr>
              <w:t xml:space="preserve">No known involvement in litigation. The CBES was a voluntary exercise designed by the Bank to assess climate related financial risks rather than a binding regulation. </w:t>
            </w:r>
          </w:p>
        </w:tc>
      </w:tr>
      <w:bookmarkEnd w:id="4"/>
    </w:tbl>
    <w:p w14:paraId="3E15F58C" w14:textId="77777777" w:rsidR="007B1CB8" w:rsidRDefault="007B1CB8"/>
    <w:p w14:paraId="0CE09BD1" w14:textId="632528A3" w:rsidR="00952AB2" w:rsidRDefault="00952AB2" w:rsidP="00952AB2">
      <w:pPr>
        <w:pStyle w:val="Heading2"/>
      </w:pPr>
      <w:bookmarkStart w:id="6" w:name="_Toc198223603"/>
      <w:r>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2219F32E"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22FE2BB"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320919CF"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19D7E75"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627AF1DC"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35A6FE6A"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rsidRPr="00F843CB"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72F17F21"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B68FA30"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29538343"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29222BD" w:rsidR="00931F08" w:rsidRDefault="006833E2" w:rsidP="00DD3144">
            <w:r>
              <w:t xml:space="preserve"> </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63EBE3C"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47A28BE"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C9602A1" w:rsidR="00931F08" w:rsidRDefault="00845F3A" w:rsidP="00DD3144">
            <w:r>
              <w:t xml:space="preserve"> </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6006FA8"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AD77344"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3B5F65"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497D52" w:rsidRDefault="00B0479E" w:rsidP="00DD3144">
            <w:pPr>
              <w:rPr>
                <w:lang w:val="fr-FR"/>
              </w:rPr>
            </w:pPr>
            <w:r w:rsidRPr="00497D52">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497D52"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4F7C69BE"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28C60361"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427F4D51" w:rsidR="00484663" w:rsidRDefault="00484663" w:rsidP="00DD3144"/>
        </w:tc>
        <w:tc>
          <w:tcPr>
            <w:tcW w:w="1440" w:type="dxa"/>
            <w:vAlign w:val="center"/>
          </w:tcPr>
          <w:p w14:paraId="0216ACA0" w14:textId="138FA50C"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5C18AE3"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1CFA1EE1"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6264F08B"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24300CBA"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2697A43D"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586134B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6729192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2EB6E9C6"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5D63CCB4"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3A332D64"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1C302BEA"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03E0EE78"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0B34CE74"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16991E8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47EE289E"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6E7CE1C5"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0FCE0AB1"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18730686"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02086E10"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0921FF90"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B6C69C1"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5445236A"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6E4E7E03" w:rsidR="00484663" w:rsidRDefault="00A272EF" w:rsidP="00DD3144">
            <w:r>
              <w:t xml:space="preserve"> </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4FEDE84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7B9DA06" w:rsidR="00484663" w:rsidRDefault="00A272EF" w:rsidP="00DD3144">
            <w:r>
              <w:t xml:space="preserve"> </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3844FFC7" w:rsidR="00484663" w:rsidRDefault="00A272EF" w:rsidP="00DD3144">
            <w:r>
              <w:t xml:space="preserve"> </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2B2E56B8"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BB573F4"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62BDC76"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4DE7F196" w:rsidR="00DA416F" w:rsidRPr="00DD3144" w:rsidRDefault="00DA416F" w:rsidP="00DD3144">
            <w:pPr>
              <w:keepNext/>
              <w:rPr>
                <w:rFonts w:ascii="Calibri" w:hAnsi="Calibri" w:cs="Calibri"/>
              </w:rPr>
            </w:pPr>
          </w:p>
        </w:tc>
        <w:tc>
          <w:tcPr>
            <w:tcW w:w="1503" w:type="dxa"/>
            <w:vAlign w:val="center"/>
          </w:tcPr>
          <w:p w14:paraId="643022FE" w14:textId="4319BE8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64205D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97E1D9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A3E7794"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96E86C9"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59B1481"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8F0B6A1"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3B745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BD92042"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5F179C4"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3E010CE"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1FEF2160"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bookmarkStart w:id="10" w:name="_Hlk202468521"/>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bookmarkStart w:id="11" w:name="_Hlk202468511"/>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bookmarkEnd w:id="11"/>
          </w:p>
        </w:tc>
      </w:tr>
      <w:bookmarkEnd w:id="10"/>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5232F04"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3B5F6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97D52" w:rsidRDefault="004F276F" w:rsidP="00C37D48">
            <w:pPr>
              <w:rPr>
                <w:rFonts w:ascii="Calibri" w:hAnsi="Calibri" w:cs="Calibri"/>
                <w:lang w:val="fr-FR"/>
              </w:rPr>
            </w:pPr>
            <w:r w:rsidRPr="00497D52">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97D52" w:rsidRDefault="004F276F" w:rsidP="00C37D48">
            <w:pPr>
              <w:rPr>
                <w:rFonts w:ascii="Calibri" w:hAnsi="Calibri" w:cs="Calibri"/>
                <w:lang w:val="fr-FR"/>
              </w:rPr>
            </w:pPr>
          </w:p>
        </w:tc>
      </w:tr>
      <w:tr w:rsidR="004F276F" w:rsidRPr="00DA68E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bookmarkStart w:id="12" w:name="_Hlk202468935"/>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bookmarkEnd w:id="12"/>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3" w:name="_Toc198223607"/>
      <w:r>
        <w:t xml:space="preserve">Section 2.2: </w:t>
      </w:r>
      <w:r w:rsidR="00F41EE0">
        <w:t>Disclosure of Plans and Targets</w:t>
      </w:r>
      <w:bookmarkEnd w:id="13"/>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4" w:name="_Toc198223608"/>
      <w:r>
        <w:t xml:space="preserve">Section 2.3: </w:t>
      </w:r>
      <w:r w:rsidR="00F41EE0">
        <w:t>Target Setting</w:t>
      </w:r>
      <w:bookmarkEnd w:id="14"/>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5" w:name="_Toc198223609"/>
      <w:r>
        <w:t xml:space="preserve">Section 2.4: </w:t>
      </w:r>
      <w:r w:rsidR="00951BBE">
        <w:t>GHG Emissions Reductions Targets</w:t>
      </w:r>
      <w:bookmarkEnd w:id="15"/>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3B5F65"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97D52" w:rsidRDefault="003A2E5E" w:rsidP="00C37D48">
            <w:pPr>
              <w:rPr>
                <w:rFonts w:ascii="Calibri" w:hAnsi="Calibri" w:cs="Calibri"/>
                <w:lang w:val="fr-FR"/>
              </w:rPr>
            </w:pPr>
            <w:r w:rsidRPr="00497D52">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497D52"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6" w:name="_Toc198223610"/>
      <w:r>
        <w:t xml:space="preserve">Section 2.5: </w:t>
      </w:r>
      <w:r w:rsidR="00950B68">
        <w:t>Transition Planning</w:t>
      </w:r>
      <w:bookmarkEnd w:id="16"/>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7" w:name="_Toc198223611"/>
      <w:r>
        <w:t xml:space="preserve">Section 2.6: </w:t>
      </w:r>
      <w:r w:rsidR="00950B68">
        <w:t>Standards and Frameworks</w:t>
      </w:r>
      <w:bookmarkEnd w:id="17"/>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8" w:name="_Toc198223612"/>
      <w:r>
        <w:t>Domain 3: Public Procurement</w:t>
      </w:r>
      <w:bookmarkEnd w:id="18"/>
      <w:r>
        <w:t xml:space="preserve"> </w:t>
      </w:r>
    </w:p>
    <w:p w14:paraId="0D8B4B9F" w14:textId="5E2943CF" w:rsidR="00950B68" w:rsidRPr="00950B68" w:rsidRDefault="005E50FD" w:rsidP="00950B68">
      <w:pPr>
        <w:pStyle w:val="Heading2"/>
      </w:pPr>
      <w:bookmarkStart w:id="19" w:name="_Toc198223613"/>
      <w:r>
        <w:t xml:space="preserve">Section 3.1: </w:t>
      </w:r>
      <w:r w:rsidR="00950B68">
        <w:t>Who is being targeted?</w:t>
      </w:r>
      <w:bookmarkEnd w:id="19"/>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0" w:name="_Hlk202468977"/>
            <w:bookmarkStart w:id="21"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bookmarkEnd w:id="20"/>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B5F6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97D52" w:rsidRDefault="00C66EE0" w:rsidP="00610F28">
            <w:pPr>
              <w:rPr>
                <w:rFonts w:ascii="Calibri" w:hAnsi="Calibri" w:cs="Calibri"/>
                <w:lang w:val="fr-FR"/>
              </w:rPr>
            </w:pPr>
            <w:r w:rsidRPr="00497D52">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97D52" w:rsidRDefault="00C66EE0" w:rsidP="00610F28">
            <w:pPr>
              <w:rPr>
                <w:rFonts w:ascii="Calibri" w:hAnsi="Calibri" w:cs="Calibri"/>
                <w:lang w:val="fr-FR"/>
              </w:rPr>
            </w:pPr>
          </w:p>
        </w:tc>
      </w:tr>
      <w:tr w:rsidR="00241257" w:rsidRPr="00DA68E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2"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1"/>
      <w:bookmarkEnd w:id="22"/>
    </w:tbl>
    <w:p w14:paraId="712268FA" w14:textId="77777777" w:rsidR="00B802FC" w:rsidRDefault="00B802FC"/>
    <w:p w14:paraId="59E94F30" w14:textId="5EC9D13E" w:rsidR="00436F24" w:rsidRDefault="005E50FD" w:rsidP="00436F24">
      <w:pPr>
        <w:pStyle w:val="Heading2"/>
      </w:pPr>
      <w:bookmarkStart w:id="23" w:name="_Toc198223614"/>
      <w:r>
        <w:t xml:space="preserve">Section 3.2: </w:t>
      </w:r>
      <w:r w:rsidR="00436F24">
        <w:t>Procurement Cycle</w:t>
      </w:r>
      <w:bookmarkEnd w:id="23"/>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4" w:name="_Toc198223615"/>
      <w:r>
        <w:t xml:space="preserve">Section 3.3: </w:t>
      </w:r>
      <w:r w:rsidR="002E5ACB">
        <w:t>Life</w:t>
      </w:r>
      <w:r w:rsidR="00DF4489">
        <w:t>-cycle or Whole-life Costing</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5" w:name="_Toc198223616"/>
      <w:r>
        <w:t xml:space="preserve">Section 3.4: </w:t>
      </w:r>
      <w:r w:rsidR="00062526">
        <w:t>Tendering or Solicitation Stage</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6" w:name="_Toc198223617"/>
      <w:r>
        <w:t xml:space="preserve">Section 3.5: </w:t>
      </w:r>
      <w:r w:rsidR="00064195">
        <w:t>Exclusion or Debarment Grounds</w:t>
      </w:r>
      <w:bookmarkEnd w:id="26"/>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7" w:name="_Toc198223618"/>
      <w:r>
        <w:t xml:space="preserve">Section 3.6: </w:t>
      </w:r>
      <w:r w:rsidR="00C85DD9">
        <w:t>Qualification or Selection Criteria</w:t>
      </w:r>
      <w:bookmarkEnd w:id="2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8" w:name="_Toc198223619"/>
      <w:r>
        <w:t xml:space="preserve">Section 3.7: </w:t>
      </w:r>
      <w:r w:rsidR="00A42235">
        <w:t>Technical specifications</w:t>
      </w:r>
      <w:bookmarkEnd w:id="2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9" w:name="_Toc198223620"/>
      <w:r>
        <w:t xml:space="preserve">Section 3.8: </w:t>
      </w:r>
      <w:r w:rsidR="001E7C37">
        <w:t>Contract Performance</w:t>
      </w:r>
      <w:bookmarkEnd w:id="29"/>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30" w:name="_Toc198223621"/>
      <w:r>
        <w:t xml:space="preserve">Section 3.9: </w:t>
      </w:r>
      <w:r w:rsidR="00950B68">
        <w:t>Standards and Frameworks</w:t>
      </w:r>
      <w:bookmarkEnd w:id="30"/>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31" w:name="_Toc198223622"/>
      <w:r>
        <w:t>Domain 4: Carbon Credits</w:t>
      </w:r>
      <w:bookmarkEnd w:id="31"/>
    </w:p>
    <w:p w14:paraId="25C35D8C" w14:textId="52BD279F" w:rsidR="001C0769" w:rsidRPr="001C0769" w:rsidRDefault="000428FA" w:rsidP="001C0769">
      <w:pPr>
        <w:pStyle w:val="Heading2"/>
      </w:pPr>
      <w:bookmarkStart w:id="32" w:name="_Toc198223623"/>
      <w:r>
        <w:t xml:space="preserve">Section </w:t>
      </w:r>
      <w:r w:rsidR="00B20D58">
        <w:t>4</w:t>
      </w:r>
      <w:r>
        <w:t xml:space="preserve">.1: </w:t>
      </w:r>
      <w:r w:rsidR="001C0769">
        <w:t>Who is being targeted?</w:t>
      </w:r>
      <w:bookmarkEnd w:id="32"/>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B5F6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497D52" w:rsidRDefault="00092534" w:rsidP="00CF2E7C">
            <w:pPr>
              <w:rPr>
                <w:rFonts w:ascii="Calibri" w:hAnsi="Calibri" w:cs="Calibri"/>
                <w:lang w:val="fr-FR"/>
              </w:rPr>
            </w:pPr>
            <w:r w:rsidRPr="00497D5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497D52" w:rsidRDefault="00092534" w:rsidP="00CF2E7C">
            <w:pPr>
              <w:rPr>
                <w:rFonts w:ascii="Calibri" w:hAnsi="Calibri" w:cs="Calibri"/>
                <w:lang w:val="fr-FR"/>
              </w:rPr>
            </w:pPr>
          </w:p>
        </w:tc>
      </w:tr>
      <w:tr w:rsidR="00092534" w:rsidRPr="00DA68E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3"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3"/>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4" w:name="_Toc198223625"/>
      <w:r>
        <w:t xml:space="preserve">Section </w:t>
      </w:r>
      <w:r w:rsidR="00B20D58">
        <w:t>4</w:t>
      </w:r>
      <w:r>
        <w:t xml:space="preserve">.3: </w:t>
      </w:r>
      <w:r w:rsidR="001C0769" w:rsidRPr="009C4D10">
        <w:t>Governance of Carbon Credits</w:t>
      </w:r>
      <w:bookmarkEnd w:id="34"/>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5" w:name="_4.3.1_Governance_of"/>
            <w:bookmarkEnd w:id="35"/>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6" w:name="_Toc198223626"/>
      <w:r>
        <w:rPr>
          <w:lang w:eastAsia="en-GB"/>
        </w:rPr>
        <w:t xml:space="preserve">Section 4.4: </w:t>
      </w:r>
      <w:r w:rsidR="00F01EE6">
        <w:rPr>
          <w:lang w:eastAsia="en-GB"/>
        </w:rPr>
        <w:t>Policy goal-specific questions</w:t>
      </w:r>
      <w:bookmarkEnd w:id="36"/>
    </w:p>
    <w:p w14:paraId="2A9A2B53" w14:textId="264B0D10" w:rsidR="001C0769" w:rsidRPr="009C4D10" w:rsidRDefault="001C0769" w:rsidP="00B20D58">
      <w:pPr>
        <w:pStyle w:val="Heading3"/>
        <w:rPr>
          <w:rFonts w:eastAsia="Times New Roman"/>
          <w:kern w:val="0"/>
          <w:lang w:eastAsia="en-GB"/>
          <w14:ligatures w14:val="none"/>
        </w:rPr>
      </w:pPr>
      <w:bookmarkStart w:id="37" w:name="_Section_1:_Criteria"/>
      <w:bookmarkStart w:id="38" w:name="_Toc198223627"/>
      <w:bookmarkEnd w:id="37"/>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8"/>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9" w:name="_Section_2:_Carbon"/>
      <w:bookmarkStart w:id="40" w:name="_Toc198223628"/>
      <w:bookmarkEnd w:id="39"/>
      <w:r>
        <w:t xml:space="preserve">Section </w:t>
      </w:r>
      <w:r w:rsidR="00B20D58">
        <w:t>4</w:t>
      </w:r>
      <w:r w:rsidR="00D2196F">
        <w:t>.4.2</w:t>
      </w:r>
      <w:r>
        <w:t xml:space="preserve">: </w:t>
      </w:r>
      <w:r w:rsidRPr="009C4D10">
        <w:t>Carbon Credit Usage in Compliance Market and Voluntary Carbon Market</w:t>
      </w:r>
      <w:bookmarkEnd w:id="40"/>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41" w:name="_Section_3:_Operationalizing"/>
      <w:bookmarkStart w:id="42" w:name="_Toc198223629"/>
      <w:bookmarkEnd w:id="41"/>
      <w:r>
        <w:t xml:space="preserve">Section </w:t>
      </w:r>
      <w:r w:rsidR="00B20D58">
        <w:t>4</w:t>
      </w:r>
      <w:r w:rsidR="004A54B3">
        <w:t>.4.3</w:t>
      </w:r>
      <w:r>
        <w:t xml:space="preserve">: </w:t>
      </w:r>
      <w:r w:rsidRPr="009C4D10">
        <w:t>Operationalizing Paris Agreement Article 6 provisions as they apply to carbon credits</w:t>
      </w:r>
      <w:bookmarkEnd w:id="42"/>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3" w:name="_Section_4:_Exchange"/>
      <w:bookmarkStart w:id="44" w:name="_Toc198223630"/>
      <w:bookmarkEnd w:id="43"/>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4"/>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5" w:name="_Toc198223631"/>
      <w:r w:rsidRPr="009C4D10">
        <w:t>Domain 5: Prudential Tools</w:t>
      </w:r>
      <w:bookmarkEnd w:id="45"/>
    </w:p>
    <w:p w14:paraId="3E16913F" w14:textId="21F34EF6" w:rsidR="00AF3FC6" w:rsidRPr="00AF3FC6" w:rsidRDefault="00455E1B" w:rsidP="00AF3FC6">
      <w:pPr>
        <w:pStyle w:val="Heading2"/>
      </w:pPr>
      <w:bookmarkStart w:id="46" w:name="_Toc198223632"/>
      <w:r>
        <w:t xml:space="preserve">Section 5.1: </w:t>
      </w:r>
      <w:r w:rsidR="00AF3FC6" w:rsidRPr="009C4D10">
        <w:t>Who is being targeted?</w:t>
      </w:r>
      <w:bookmarkEnd w:id="46"/>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36A5E926" w:rsidR="00D4323A" w:rsidRPr="00CF2E7C" w:rsidRDefault="00291D86"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5EE2E40" w:rsidR="00D4323A" w:rsidRPr="00CF2E7C" w:rsidRDefault="00291D86"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57B0331A" w:rsidR="00D4323A" w:rsidRPr="00CF2E7C" w:rsidRDefault="00D4323A" w:rsidP="00CF2E7C">
            <w:pPr>
              <w:rPr>
                <w:rFonts w:ascii="Calibri" w:hAnsi="Calibri" w:cs="Calibri"/>
              </w:rPr>
            </w:pPr>
          </w:p>
        </w:tc>
        <w:tc>
          <w:tcPr>
            <w:tcW w:w="1455" w:type="dxa"/>
            <w:gridSpan w:val="2"/>
            <w:vAlign w:val="center"/>
          </w:tcPr>
          <w:p w14:paraId="768ED678" w14:textId="6C318FCA" w:rsidR="00D4323A" w:rsidRPr="00CF2E7C" w:rsidRDefault="001F53C8"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6D70FFC0" w:rsidR="00D4323A" w:rsidRPr="00CF2E7C" w:rsidRDefault="00291D8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31052ED" w:rsidR="00D4323A" w:rsidRPr="00CF2E7C" w:rsidRDefault="00291D8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44A1069" w:rsidR="00D4323A" w:rsidRPr="00CF2E7C" w:rsidRDefault="00291D8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8645C77" w:rsidR="00D4323A" w:rsidRPr="00CF2E7C" w:rsidRDefault="00291D8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D3C36A4" w:rsidR="00D4323A" w:rsidRPr="00CF2E7C" w:rsidRDefault="00291D8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A09239F" w:rsidR="00D4323A" w:rsidRPr="00CF2E7C" w:rsidRDefault="00291D8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BA84FED" w:rsidR="00D4323A" w:rsidRPr="00CF2E7C" w:rsidRDefault="00291D8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30EDD4F" w:rsidR="00D4323A" w:rsidRPr="00CF2E7C" w:rsidRDefault="00291D8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6F1830E8" w:rsidR="00D4323A" w:rsidRPr="00CF2E7C" w:rsidRDefault="007958DE" w:rsidP="00CF2E7C">
            <w:pPr>
              <w:rPr>
                <w:rFonts w:ascii="Calibri" w:hAnsi="Calibri" w:cs="Calibri"/>
              </w:rPr>
            </w:pPr>
            <w:r>
              <w:rPr>
                <w:rFonts w:ascii="Calibri" w:hAnsi="Calibri" w:cs="Calibri"/>
              </w:rPr>
              <w:t>X</w:t>
            </w:r>
          </w:p>
        </w:tc>
        <w:tc>
          <w:tcPr>
            <w:tcW w:w="1505" w:type="dxa"/>
            <w:vAlign w:val="center"/>
          </w:tcPr>
          <w:p w14:paraId="0820E928" w14:textId="76BBCB43"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2DE8AF8" w:rsidR="00D4323A" w:rsidRPr="00CF2E7C" w:rsidRDefault="00D4323A" w:rsidP="00CF2E7C">
            <w:pPr>
              <w:rPr>
                <w:rFonts w:ascii="Calibri" w:hAnsi="Calibri" w:cs="Calibri"/>
              </w:rPr>
            </w:pPr>
          </w:p>
        </w:tc>
        <w:tc>
          <w:tcPr>
            <w:tcW w:w="1505" w:type="dxa"/>
            <w:vAlign w:val="center"/>
          </w:tcPr>
          <w:p w14:paraId="654433FC" w14:textId="5E864267" w:rsidR="00D4323A" w:rsidRPr="00CF2E7C" w:rsidRDefault="0050553F"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A8C4922"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6F637B12" w:rsidR="00DD292A" w:rsidRPr="00CF2E7C" w:rsidRDefault="00DD292A" w:rsidP="00CF2E7C">
            <w:pPr>
              <w:rPr>
                <w:rFonts w:ascii="Calibri" w:hAnsi="Calibri" w:cs="Calibri"/>
              </w:rPr>
            </w:pPr>
          </w:p>
        </w:tc>
        <w:tc>
          <w:tcPr>
            <w:tcW w:w="1455" w:type="dxa"/>
            <w:gridSpan w:val="2"/>
            <w:vAlign w:val="center"/>
          </w:tcPr>
          <w:p w14:paraId="135AE0CB" w14:textId="6193A1BF" w:rsidR="00DD292A" w:rsidRPr="00CF2E7C" w:rsidRDefault="00F027C3"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5D300B4C" w:rsidR="00DD292A" w:rsidRPr="00CF2E7C" w:rsidRDefault="001F53C8"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6CDB85F1" w:rsidR="00DD292A" w:rsidRPr="00CF2E7C" w:rsidRDefault="00DD292A" w:rsidP="00CF2E7C">
            <w:pPr>
              <w:rPr>
                <w:rFonts w:ascii="Calibri" w:hAnsi="Calibri" w:cs="Calibri"/>
              </w:rPr>
            </w:pPr>
          </w:p>
        </w:tc>
        <w:tc>
          <w:tcPr>
            <w:tcW w:w="1455" w:type="dxa"/>
            <w:gridSpan w:val="2"/>
            <w:vAlign w:val="center"/>
          </w:tcPr>
          <w:p w14:paraId="4FF5C987" w14:textId="5FDF2752" w:rsidR="00DD292A" w:rsidRPr="00CF2E7C" w:rsidRDefault="00F027C3"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661C3F11" w:rsidR="00DD292A" w:rsidRPr="00CF2E7C" w:rsidRDefault="001F53C8"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40E72B36" w:rsidR="00DD292A" w:rsidRPr="00CF2E7C" w:rsidRDefault="001F53C8"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235B062" w:rsidR="00DD292A" w:rsidRPr="00CF2E7C" w:rsidRDefault="001F53C8"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A662BE4" w:rsidR="00DD292A" w:rsidRPr="00CF2E7C" w:rsidRDefault="001F53C8"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1786B24C" w:rsidR="00DD292A" w:rsidRPr="00CF2E7C" w:rsidRDefault="001F53C8"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3D77A566" w:rsidR="00DD292A" w:rsidRPr="00CF2E7C" w:rsidRDefault="001F53C8"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3A83033" w:rsidR="00DD292A" w:rsidRPr="00CF2E7C" w:rsidRDefault="001F53C8"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28312D24" w:rsidR="00DD292A" w:rsidRPr="00CF2E7C" w:rsidRDefault="001F53C8"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10DD9D78" w:rsidR="00DD292A" w:rsidRPr="00CF2E7C" w:rsidRDefault="001F53C8"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F46BCA9" w:rsidR="00DD292A" w:rsidRPr="00CF2E7C" w:rsidRDefault="001F53C8"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1268A170" w:rsidR="00DD292A" w:rsidRPr="00CF2E7C" w:rsidRDefault="001F53C8"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5EA00CE" w:rsidR="00DD292A" w:rsidRPr="00CF2E7C" w:rsidRDefault="001F53C8"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A49E219" w:rsidR="00DD292A" w:rsidRPr="00CF2E7C" w:rsidRDefault="001F53C8"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1BC3580C" w:rsidR="00DD292A" w:rsidRPr="00CF2E7C" w:rsidRDefault="00DD292A" w:rsidP="00CF2E7C">
            <w:pPr>
              <w:rPr>
                <w:rFonts w:ascii="Calibri" w:hAnsi="Calibri" w:cs="Calibri"/>
              </w:rPr>
            </w:pPr>
          </w:p>
        </w:tc>
        <w:tc>
          <w:tcPr>
            <w:tcW w:w="1455" w:type="dxa"/>
            <w:gridSpan w:val="2"/>
            <w:vAlign w:val="center"/>
          </w:tcPr>
          <w:p w14:paraId="48FCC9CA" w14:textId="1B7A6AA6" w:rsidR="00DD292A" w:rsidRPr="00CF2E7C" w:rsidRDefault="001F53C8"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849C591" w:rsidR="00DD292A" w:rsidRPr="00CF2E7C" w:rsidRDefault="001F53C8"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19D763B8" w:rsidR="00DD292A" w:rsidRPr="00CF2E7C" w:rsidRDefault="001F53C8"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1D554FD8" w:rsidR="00DD292A" w:rsidRPr="00CF2E7C" w:rsidRDefault="001F53C8"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21F3AC1A" w:rsidR="00DD292A" w:rsidRPr="00CF2E7C" w:rsidRDefault="001F53C8"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4BF5524C" w:rsidR="00DD292A" w:rsidRPr="00CF2E7C" w:rsidRDefault="001F53C8"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DF0381D" w:rsidR="00DD292A" w:rsidRPr="00CF2E7C" w:rsidRDefault="001F53C8"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073D8B9E" w:rsidR="00DD292A" w:rsidRPr="00CF2E7C" w:rsidRDefault="001F53C8"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30D00EF9" w:rsidR="00DD292A" w:rsidRPr="00CF2E7C" w:rsidRDefault="001F53C8"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56D0AED6" w:rsidR="00DD292A" w:rsidRPr="00CF2E7C" w:rsidRDefault="001F53C8"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0940F17" w:rsidR="00DD292A" w:rsidRPr="00CF2E7C" w:rsidRDefault="001F53C8"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AF7883F" w:rsidR="00DD292A" w:rsidRPr="00CF2E7C" w:rsidRDefault="001F53C8"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44524B04"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B5F65"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97D52" w:rsidRDefault="00DD292A" w:rsidP="00CF2E7C">
            <w:pPr>
              <w:rPr>
                <w:rFonts w:ascii="Calibri" w:hAnsi="Calibri" w:cs="Calibri"/>
                <w:lang w:val="fr-FR"/>
              </w:rPr>
            </w:pPr>
            <w:r w:rsidRPr="00497D52">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497D52" w:rsidRDefault="00DD292A" w:rsidP="00CF2E7C">
            <w:pPr>
              <w:rPr>
                <w:rFonts w:ascii="Calibri" w:hAnsi="Calibri" w:cs="Calibri"/>
                <w:lang w:val="fr-FR"/>
              </w:rPr>
            </w:pPr>
          </w:p>
        </w:tc>
      </w:tr>
      <w:tr w:rsidR="00DD292A" w:rsidRPr="00DA68E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3960C447" w:rsidR="00DD292A" w:rsidRPr="00CF2E7C" w:rsidRDefault="00B04200" w:rsidP="00CF2E7C">
            <w:pPr>
              <w:rPr>
                <w:rFonts w:ascii="Calibri" w:hAnsi="Calibri" w:cs="Calibri"/>
              </w:rPr>
            </w:pPr>
            <w:r>
              <w:rPr>
                <w:rFonts w:ascii="Calibri" w:hAnsi="Calibri" w:cs="Calibri"/>
              </w:rPr>
              <w:t xml:space="preserve"> </w:t>
            </w:r>
          </w:p>
        </w:tc>
      </w:tr>
      <w:tr w:rsidR="002A36AC" w:rsidRPr="009C4D10" w14:paraId="250CFB33" w14:textId="77777777" w:rsidTr="00CF2E7C">
        <w:trPr>
          <w:trHeight w:val="350"/>
        </w:trPr>
        <w:tc>
          <w:tcPr>
            <w:tcW w:w="1065" w:type="dxa"/>
            <w:vAlign w:val="center"/>
          </w:tcPr>
          <w:p w14:paraId="213C538B" w14:textId="04CF66F7" w:rsidR="002A36AC" w:rsidRPr="00CF2E7C" w:rsidRDefault="002A36AC" w:rsidP="002A36A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2A36AC" w:rsidRPr="00CF2E7C" w:rsidRDefault="002A36AC" w:rsidP="002A36A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08CACBA9" w:rsidR="002A36AC" w:rsidRPr="00CF2E7C" w:rsidRDefault="002A36AC" w:rsidP="002A36A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64B5C0C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326D7580" w:rsidR="00DD292A" w:rsidRPr="00CF2E7C" w:rsidRDefault="00494DD1"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68238928"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651B3B3"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680EBDEE" w:rsidR="00DD3B33" w:rsidRPr="00CF2E7C" w:rsidRDefault="001F53C8"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5FF082E1"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62BB4C8E"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D455144" w:rsidR="00DD292A" w:rsidRPr="00CF2E7C" w:rsidRDefault="001F53C8"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1D10248" w14:textId="77777777" w:rsidR="00D8342A" w:rsidRDefault="0050553F" w:rsidP="00B753AD">
            <w:pPr>
              <w:rPr>
                <w:rFonts w:ascii="Calibri" w:hAnsi="Calibri" w:cs="Calibri"/>
              </w:rPr>
            </w:pPr>
            <w:r w:rsidRPr="0050553F">
              <w:rPr>
                <w:rFonts w:ascii="Calibri" w:hAnsi="Calibri" w:cs="Calibri"/>
              </w:rPr>
              <w:t xml:space="preserve">The Bank has committed to providing firm-specific feedback to participating banks and insurers, while also disseminating key thematic findings more broadly across the financial industry </w:t>
            </w:r>
            <w:r w:rsidR="00292736">
              <w:rPr>
                <w:rFonts w:ascii="Calibri" w:hAnsi="Calibri" w:cs="Calibri"/>
              </w:rPr>
              <w:t>(Section 6.2: Supervisory strategy and policy)</w:t>
            </w:r>
            <w:r>
              <w:rPr>
                <w:rFonts w:ascii="Calibri" w:hAnsi="Calibri" w:cs="Calibri"/>
              </w:rPr>
              <w:t xml:space="preserve">. </w:t>
            </w:r>
          </w:p>
          <w:p w14:paraId="6FF85688" w14:textId="541DAF0A" w:rsidR="002C1603" w:rsidRDefault="0050553F" w:rsidP="00B753AD">
            <w:pPr>
              <w:rPr>
                <w:rFonts w:ascii="Calibri" w:hAnsi="Calibri" w:cs="Calibri"/>
              </w:rPr>
            </w:pPr>
            <w:r>
              <w:rPr>
                <w:rFonts w:ascii="Calibri" w:hAnsi="Calibri" w:cs="Calibri"/>
              </w:rPr>
              <w:t>T</w:t>
            </w:r>
            <w:r w:rsidRPr="0050553F">
              <w:rPr>
                <w:rFonts w:ascii="Calibri" w:hAnsi="Calibri" w:cs="Calibri"/>
              </w:rPr>
              <w:t>hese findings are also intended to inform the</w:t>
            </w:r>
            <w:r>
              <w:rPr>
                <w:rFonts w:ascii="Calibri" w:hAnsi="Calibri" w:cs="Calibri"/>
              </w:rPr>
              <w:t xml:space="preserve"> PRA’s supervisory approach,</w:t>
            </w:r>
            <w:r>
              <w:t xml:space="preserve"> </w:t>
            </w:r>
            <w:r w:rsidRPr="0050553F">
              <w:rPr>
                <w:rFonts w:ascii="Calibri" w:hAnsi="Calibri" w:cs="Calibri"/>
              </w:rPr>
              <w:t xml:space="preserve">particularly by helping assess firms’ progress against the expectations set out in Supervisory Statement </w:t>
            </w:r>
            <w:hyperlink r:id="rId22" w:history="1">
              <w:r w:rsidRPr="006016A1">
                <w:rPr>
                  <w:rStyle w:val="Hyperlink"/>
                  <w:rFonts w:ascii="Calibri" w:hAnsi="Calibri" w:cs="Calibri"/>
                </w:rPr>
                <w:t>SS3/19</w:t>
              </w:r>
            </w:hyperlink>
            <w:r w:rsidRPr="0050553F">
              <w:rPr>
                <w:rFonts w:ascii="Calibri" w:hAnsi="Calibri" w:cs="Calibri"/>
              </w:rPr>
              <w:t xml:space="preserve">, and by identifying areas where more intensive regulatory action may be necessary </w:t>
            </w:r>
            <w:r w:rsidR="00292736">
              <w:rPr>
                <w:rFonts w:ascii="Calibri" w:hAnsi="Calibri" w:cs="Calibri"/>
              </w:rPr>
              <w:t>(Section 6.2: Supervisory strategy and policy)</w:t>
            </w:r>
            <w:r w:rsidR="00D8342A">
              <w:rPr>
                <w:rFonts w:ascii="Calibri" w:hAnsi="Calibri" w:cs="Calibri"/>
              </w:rPr>
              <w:t>.</w:t>
            </w:r>
          </w:p>
          <w:p w14:paraId="3A3BFB9F" w14:textId="30EDC146" w:rsidR="00D8342A" w:rsidRDefault="0050553F" w:rsidP="00B753AD">
            <w:pPr>
              <w:rPr>
                <w:rFonts w:ascii="Calibri" w:hAnsi="Calibri" w:cs="Calibri"/>
              </w:rPr>
            </w:pPr>
            <w:r w:rsidRPr="0050553F">
              <w:rPr>
                <w:rFonts w:ascii="Calibri" w:hAnsi="Calibri" w:cs="Calibri"/>
              </w:rPr>
              <w:t xml:space="preserve">Additionally, the Bank plans to publish follow-up research on the use of capital, drawing on insights from both the CBES and related conferences </w:t>
            </w:r>
            <w:r w:rsidR="00292736">
              <w:rPr>
                <w:rFonts w:ascii="Calibri" w:hAnsi="Calibri" w:cs="Calibri"/>
              </w:rPr>
              <w:t>(Section 1: Executive Summary)</w:t>
            </w:r>
            <w:r w:rsidR="00D8342A">
              <w:rPr>
                <w:rFonts w:ascii="Calibri" w:hAnsi="Calibri" w:cs="Calibri"/>
              </w:rPr>
              <w:t xml:space="preserve">. See, for example, the </w:t>
            </w:r>
            <w:hyperlink r:id="rId23" w:history="1">
              <w:r w:rsidR="00D8342A" w:rsidRPr="003B5F65">
                <w:rPr>
                  <w:rStyle w:val="Hyperlink"/>
                  <w:rFonts w:ascii="Calibri" w:hAnsi="Calibri" w:cs="Calibri"/>
                </w:rPr>
                <w:t>2023 Report on Climate-related risks and the Regulatory Capital Frameworks</w:t>
              </w:r>
            </w:hyperlink>
            <w:r w:rsidR="00D8342A">
              <w:rPr>
                <w:rFonts w:ascii="Calibri" w:hAnsi="Calibri" w:cs="Calibri"/>
              </w:rPr>
              <w:t>.</w:t>
            </w:r>
          </w:p>
          <w:p w14:paraId="361BFE99" w14:textId="77777777" w:rsidR="00D8342A" w:rsidRDefault="00D8342A" w:rsidP="003B5F65">
            <w:pPr>
              <w:jc w:val="right"/>
              <w:rPr>
                <w:rFonts w:ascii="Calibri" w:hAnsi="Calibri" w:cs="Calibri"/>
              </w:rPr>
            </w:pPr>
          </w:p>
          <w:p w14:paraId="4D4DF906" w14:textId="465B4A1B" w:rsidR="00B753AD" w:rsidRPr="00B753AD" w:rsidRDefault="0050553F" w:rsidP="00B753AD">
            <w:pPr>
              <w:rPr>
                <w:rFonts w:ascii="Calibri" w:hAnsi="Calibri" w:cs="Calibri"/>
              </w:rPr>
            </w:pPr>
            <w:r w:rsidRPr="0050553F">
              <w:rPr>
                <w:rFonts w:ascii="Calibri" w:hAnsi="Calibri" w:cs="Calibri"/>
              </w:rPr>
              <w:t xml:space="preserve">There is also a commitment to continued collaboration with the Government and the Financial Conduct Authority (FCA) to ensure that any systemic risks to the provision of financial services identified through the CBES are well understood and addressed </w:t>
            </w:r>
            <w:r w:rsidR="00292736">
              <w:rPr>
                <w:rFonts w:ascii="Calibri" w:hAnsi="Calibri" w:cs="Calibri"/>
              </w:rPr>
              <w:t xml:space="preserve">(Section 5.2: No Additional Action </w:t>
            </w:r>
            <w:r>
              <w:rPr>
                <w:rFonts w:ascii="Calibri" w:hAnsi="Calibri" w:cs="Calibri"/>
              </w:rPr>
              <w:t>s</w:t>
            </w:r>
            <w:r w:rsidR="00292736">
              <w:rPr>
                <w:rFonts w:ascii="Calibri" w:hAnsi="Calibri" w:cs="Calibri"/>
              </w:rPr>
              <w:t>cenario)</w:t>
            </w:r>
            <w:r>
              <w:rPr>
                <w:rFonts w:ascii="Calibri" w:hAnsi="Calibri" w:cs="Calibri"/>
              </w:rPr>
              <w:t>.</w:t>
            </w:r>
          </w:p>
          <w:p w14:paraId="496F7156" w14:textId="4DE87C77" w:rsidR="00DD292A" w:rsidRPr="00CF2E7C" w:rsidRDefault="00B753AD" w:rsidP="00CF2E7C">
            <w:pPr>
              <w:rPr>
                <w:rFonts w:ascii="Calibri" w:hAnsi="Calibri" w:cs="Calibri"/>
              </w:rPr>
            </w:pPr>
            <w:r>
              <w:rPr>
                <w:rFonts w:ascii="Calibri" w:hAnsi="Calibri" w:cs="Calibri"/>
              </w:rP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C4174F6" w:rsidR="00DD292A" w:rsidRPr="00CF2E7C" w:rsidRDefault="00494DD1"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AA105AA" w:rsidR="00DD292A" w:rsidRPr="00CF2E7C" w:rsidRDefault="00F027C3"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7" w:name="_Toc198223633"/>
      <w:r>
        <w:rPr>
          <w:lang w:val="en-SG"/>
        </w:rPr>
        <w:t xml:space="preserve">Section 5.2: </w:t>
      </w:r>
      <w:r w:rsidR="00FE66B1" w:rsidRPr="009C4D10">
        <w:rPr>
          <w:lang w:val="en-SG"/>
        </w:rPr>
        <w:t>Policy goal or function of the policy tool</w:t>
      </w:r>
      <w:bookmarkEnd w:id="47"/>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2FE57AB" w:rsidR="00410853" w:rsidRPr="00CF2E7C" w:rsidRDefault="003B5F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3D9056D" w:rsidR="00410853" w:rsidRPr="00CF2E7C" w:rsidRDefault="003B5F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8B75620" w:rsidR="00F632FB"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1C6FDE12" w:rsidR="00F632FB"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AA72738" w:rsidR="00F632FB"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998382E" w:rsidR="00F632FB"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FB01653" w:rsidR="008C4722"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1555148" w:rsidR="008C4722"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C26218" w14:textId="77777777" w:rsidR="00A2613C" w:rsidRDefault="0050461D" w:rsidP="00A2462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CBES has</w:t>
            </w:r>
            <w:r w:rsidR="00FC4023">
              <w:rPr>
                <w:rFonts w:ascii="Calibri" w:eastAsia="Times New Roman" w:hAnsi="Calibri" w:cs="Calibri"/>
                <w:kern w:val="0"/>
                <w:lang w:eastAsia="en-GB"/>
                <w14:ligatures w14:val="none"/>
              </w:rPr>
              <w:t xml:space="preserve"> a</w:t>
            </w:r>
            <w:r>
              <w:rPr>
                <w:rFonts w:ascii="Calibri" w:eastAsia="Times New Roman" w:hAnsi="Calibri" w:cs="Calibri"/>
                <w:kern w:val="0"/>
                <w:lang w:eastAsia="en-GB"/>
                <w14:ligatures w14:val="none"/>
              </w:rPr>
              <w:t>ssisted participants in improving management of climate risk by:</w:t>
            </w:r>
          </w:p>
          <w:p w14:paraId="0686F337" w14:textId="1C9D2474" w:rsidR="00A2613C" w:rsidRDefault="00A2613C" w:rsidP="00A2613C">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0050461D" w:rsidRPr="00A2613C">
              <w:rPr>
                <w:rFonts w:ascii="Calibri" w:eastAsia="Times New Roman" w:hAnsi="Calibri" w:cs="Calibri"/>
                <w:kern w:val="0"/>
                <w:lang w:eastAsia="en-GB"/>
                <w14:ligatures w14:val="none"/>
              </w:rPr>
              <w:t xml:space="preserve">ncreasing awareness among banks/insurers as to </w:t>
            </w:r>
            <w:r w:rsidRPr="00A2613C">
              <w:rPr>
                <w:rFonts w:ascii="Calibri" w:eastAsia="Times New Roman" w:hAnsi="Calibri" w:cs="Calibri"/>
                <w:kern w:val="0"/>
                <w:lang w:eastAsia="en-GB"/>
                <w14:ligatures w14:val="none"/>
              </w:rPr>
              <w:t>‘</w:t>
            </w:r>
            <w:r w:rsidR="00FC4023" w:rsidRPr="00A2613C">
              <w:rPr>
                <w:rFonts w:ascii="Calibri" w:eastAsia="Times New Roman" w:hAnsi="Calibri" w:cs="Calibri"/>
                <w:kern w:val="0"/>
                <w:lang w:eastAsia="en-GB"/>
                <w14:ligatures w14:val="none"/>
              </w:rPr>
              <w:t>drag on the profitability’</w:t>
            </w:r>
            <w:r w:rsidR="0050461D" w:rsidRPr="00A2613C">
              <w:rPr>
                <w:rFonts w:ascii="Calibri" w:eastAsia="Times New Roman" w:hAnsi="Calibri" w:cs="Calibri"/>
                <w:kern w:val="0"/>
                <w:lang w:eastAsia="en-GB"/>
                <w14:ligatures w14:val="none"/>
              </w:rPr>
              <w:t xml:space="preserve"> of late or no action on climate risk</w:t>
            </w:r>
            <w:r>
              <w:rPr>
                <w:rFonts w:ascii="Calibri" w:eastAsia="Times New Roman" w:hAnsi="Calibri" w:cs="Calibri"/>
                <w:kern w:val="0"/>
                <w:lang w:eastAsia="en-GB"/>
                <w14:ligatures w14:val="none"/>
              </w:rPr>
              <w:t>;</w:t>
            </w:r>
          </w:p>
          <w:p w14:paraId="629257A0" w14:textId="77777777" w:rsidR="00A2613C" w:rsidRDefault="00A2613C" w:rsidP="00A2613C">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w:t>
            </w:r>
            <w:r w:rsidR="00A565D0" w:rsidRPr="00A2613C">
              <w:rPr>
                <w:rFonts w:ascii="Calibri" w:eastAsia="Times New Roman" w:hAnsi="Calibri" w:cs="Calibri"/>
                <w:kern w:val="0"/>
                <w:lang w:eastAsia="en-GB"/>
                <w14:ligatures w14:val="none"/>
              </w:rPr>
              <w:t xml:space="preserve">evealing inadequacies </w:t>
            </w:r>
            <w:r>
              <w:rPr>
                <w:rFonts w:ascii="Calibri" w:eastAsia="Times New Roman" w:hAnsi="Calibri" w:cs="Calibri"/>
                <w:kern w:val="0"/>
                <w:lang w:eastAsia="en-GB"/>
                <w14:ligatures w14:val="none"/>
              </w:rPr>
              <w:t>in their</w:t>
            </w:r>
            <w:r w:rsidR="00A565D0" w:rsidRPr="00A2613C">
              <w:rPr>
                <w:rFonts w:ascii="Calibri" w:eastAsia="Times New Roman" w:hAnsi="Calibri" w:cs="Calibri"/>
                <w:kern w:val="0"/>
                <w:lang w:eastAsia="en-GB"/>
                <w14:ligatures w14:val="none"/>
              </w:rPr>
              <w:t xml:space="preserve"> existing risk management capabilities</w:t>
            </w:r>
            <w:r>
              <w:rPr>
                <w:rFonts w:ascii="Calibri" w:eastAsia="Times New Roman" w:hAnsi="Calibri" w:cs="Calibri"/>
                <w:kern w:val="0"/>
                <w:lang w:eastAsia="en-GB"/>
                <w14:ligatures w14:val="none"/>
              </w:rPr>
              <w:t>;</w:t>
            </w:r>
          </w:p>
          <w:p w14:paraId="0B22AED8" w14:textId="77777777" w:rsidR="00A2613C" w:rsidRDefault="00A2613C" w:rsidP="001C3C90">
            <w:pPr>
              <w:pStyle w:val="ListParagraph"/>
              <w:numPr>
                <w:ilvl w:val="0"/>
                <w:numId w:val="52"/>
              </w:numPr>
              <w:textAlignment w:val="baseline"/>
              <w:rPr>
                <w:rFonts w:ascii="Calibri" w:eastAsia="Times New Roman" w:hAnsi="Calibri" w:cs="Calibri"/>
                <w:kern w:val="0"/>
                <w:lang w:eastAsia="en-GB"/>
                <w14:ligatures w14:val="none"/>
              </w:rPr>
            </w:pPr>
            <w:r w:rsidRPr="00A2613C">
              <w:rPr>
                <w:rFonts w:ascii="Calibri" w:eastAsia="Times New Roman" w:hAnsi="Calibri" w:cs="Calibri"/>
                <w:kern w:val="0"/>
                <w:lang w:eastAsia="en-GB"/>
                <w14:ligatures w14:val="none"/>
              </w:rPr>
              <w:t>e</w:t>
            </w:r>
            <w:r w:rsidR="0050461D" w:rsidRPr="00A2613C">
              <w:rPr>
                <w:rFonts w:ascii="Calibri" w:eastAsia="Times New Roman" w:hAnsi="Calibri" w:cs="Calibri"/>
                <w:kern w:val="0"/>
                <w:lang w:eastAsia="en-GB"/>
                <w14:ligatures w14:val="none"/>
              </w:rPr>
              <w:t>ncouraging the collection of further data to inform the</w:t>
            </w:r>
            <w:r w:rsidRPr="00A2613C">
              <w:rPr>
                <w:rFonts w:ascii="Calibri" w:eastAsia="Times New Roman" w:hAnsi="Calibri" w:cs="Calibri"/>
                <w:kern w:val="0"/>
                <w:lang w:eastAsia="en-GB"/>
                <w14:ligatures w14:val="none"/>
              </w:rPr>
              <w:t>ir</w:t>
            </w:r>
            <w:r w:rsidR="0050461D" w:rsidRPr="00A2613C">
              <w:rPr>
                <w:rFonts w:ascii="Calibri" w:eastAsia="Times New Roman" w:hAnsi="Calibri" w:cs="Calibri"/>
                <w:kern w:val="0"/>
                <w:lang w:eastAsia="en-GB"/>
                <w14:ligatures w14:val="none"/>
              </w:rPr>
              <w:t xml:space="preserve"> climate risk policies</w:t>
            </w:r>
            <w:r>
              <w:rPr>
                <w:rFonts w:ascii="Calibri" w:eastAsia="Times New Roman" w:hAnsi="Calibri" w:cs="Calibri"/>
                <w:kern w:val="0"/>
                <w:lang w:eastAsia="en-GB"/>
                <w14:ligatures w14:val="none"/>
              </w:rPr>
              <w:t>; and</w:t>
            </w:r>
          </w:p>
          <w:p w14:paraId="0371F00E" w14:textId="40CEC9B5" w:rsidR="00A565D0" w:rsidRPr="00A2613C" w:rsidRDefault="00A2613C" w:rsidP="00A2613C">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w:t>
            </w:r>
            <w:r w:rsidR="000E0CE5" w:rsidRPr="00A2613C">
              <w:rPr>
                <w:rFonts w:ascii="Calibri" w:eastAsia="Times New Roman" w:hAnsi="Calibri" w:cs="Calibri"/>
                <w:kern w:val="0"/>
                <w:lang w:eastAsia="en-GB"/>
                <w14:ligatures w14:val="none"/>
              </w:rPr>
              <w:t xml:space="preserve">aising awareness </w:t>
            </w:r>
            <w:r w:rsidR="005653F4" w:rsidRPr="00A2613C">
              <w:rPr>
                <w:rFonts w:ascii="Calibri" w:eastAsia="Times New Roman" w:hAnsi="Calibri" w:cs="Calibri"/>
                <w:kern w:val="0"/>
                <w:lang w:eastAsia="en-GB"/>
                <w14:ligatures w14:val="none"/>
              </w:rPr>
              <w:t>as to the</w:t>
            </w:r>
            <w:r w:rsidR="000E0CE5" w:rsidRPr="00A2613C">
              <w:rPr>
                <w:rFonts w:ascii="Calibri" w:eastAsia="Times New Roman" w:hAnsi="Calibri" w:cs="Calibri"/>
                <w:kern w:val="0"/>
                <w:lang w:eastAsia="en-GB"/>
                <w14:ligatures w14:val="none"/>
              </w:rPr>
              <w:t xml:space="preserve"> business opportunities</w:t>
            </w:r>
            <w:r w:rsidR="005653F4" w:rsidRPr="00A2613C">
              <w:rPr>
                <w:rFonts w:ascii="Calibri" w:eastAsia="Times New Roman" w:hAnsi="Calibri" w:cs="Calibri"/>
                <w:kern w:val="0"/>
                <w:lang w:eastAsia="en-GB"/>
                <w14:ligatures w14:val="none"/>
              </w:rPr>
              <w:t xml:space="preserve"> presented by</w:t>
            </w:r>
            <w:r w:rsidR="000E0CE5" w:rsidRPr="00A2613C">
              <w:rPr>
                <w:rFonts w:ascii="Calibri" w:eastAsia="Times New Roman" w:hAnsi="Calibri" w:cs="Calibri"/>
                <w:kern w:val="0"/>
                <w:lang w:eastAsia="en-GB"/>
                <w14:ligatures w14:val="none"/>
              </w:rPr>
              <w:t xml:space="preserve"> early </w:t>
            </w:r>
            <w:r w:rsidR="00846048" w:rsidRPr="00A2613C">
              <w:rPr>
                <w:rFonts w:ascii="Calibri" w:eastAsia="Times New Roman" w:hAnsi="Calibri" w:cs="Calibri"/>
                <w:kern w:val="0"/>
                <w:lang w:eastAsia="en-GB"/>
                <w14:ligatures w14:val="none"/>
              </w:rPr>
              <w:t>(Section 1, Executive Summary)</w:t>
            </w:r>
            <w:r>
              <w:rPr>
                <w:rFonts w:ascii="Calibri" w:eastAsia="Times New Roman" w:hAnsi="Calibri" w:cs="Calibri"/>
                <w:kern w:val="0"/>
                <w:lang w:eastAsia="en-GB"/>
                <w14:ligatures w14:val="none"/>
              </w:rPr>
              <w:t>.</w:t>
            </w:r>
          </w:p>
          <w:p w14:paraId="0652DC43" w14:textId="34B05021" w:rsidR="00A565D0" w:rsidRDefault="00A565D0" w:rsidP="0050461D">
            <w:pPr>
              <w:textAlignment w:val="baseline"/>
              <w:rPr>
                <w:rFonts w:ascii="Calibri" w:eastAsia="Times New Roman" w:hAnsi="Calibri" w:cs="Calibri"/>
                <w:kern w:val="0"/>
                <w:lang w:eastAsia="en-GB"/>
                <w14:ligatures w14:val="none"/>
              </w:rPr>
            </w:pPr>
            <w:r w:rsidRPr="00A565D0">
              <w:rPr>
                <w:rFonts w:ascii="Calibri" w:eastAsia="Times New Roman" w:hAnsi="Calibri" w:cs="Calibri"/>
                <w:kern w:val="0"/>
                <w:lang w:eastAsia="en-GB"/>
                <w14:ligatures w14:val="none"/>
              </w:rPr>
              <w:t xml:space="preserve">These actions </w:t>
            </w:r>
            <w:r w:rsidR="00A2613C">
              <w:rPr>
                <w:rFonts w:ascii="Calibri" w:eastAsia="Times New Roman" w:hAnsi="Calibri" w:cs="Calibri"/>
                <w:kern w:val="0"/>
                <w:lang w:eastAsia="en-GB"/>
                <w14:ligatures w14:val="none"/>
              </w:rPr>
              <w:t xml:space="preserve">will </w:t>
            </w:r>
            <w:r w:rsidRPr="00A565D0">
              <w:rPr>
                <w:rFonts w:ascii="Calibri" w:eastAsia="Times New Roman" w:hAnsi="Calibri" w:cs="Calibri"/>
                <w:kern w:val="0"/>
                <w:lang w:eastAsia="en-GB"/>
                <w14:ligatures w14:val="none"/>
              </w:rPr>
              <w:t xml:space="preserve">collectively improve the ability of banks and insurers to detect, monitor, and </w:t>
            </w:r>
            <w:r>
              <w:rPr>
                <w:rFonts w:ascii="Calibri" w:eastAsia="Times New Roman" w:hAnsi="Calibri" w:cs="Calibri"/>
                <w:kern w:val="0"/>
                <w:lang w:eastAsia="en-GB"/>
                <w14:ligatures w14:val="none"/>
              </w:rPr>
              <w:t>mitigate</w:t>
            </w:r>
            <w:r w:rsidRPr="00A565D0">
              <w:rPr>
                <w:rFonts w:ascii="Calibri" w:eastAsia="Times New Roman" w:hAnsi="Calibri" w:cs="Calibri"/>
                <w:kern w:val="0"/>
                <w:lang w:eastAsia="en-GB"/>
                <w14:ligatures w14:val="none"/>
              </w:rPr>
              <w:t xml:space="preserve"> climate-related financial risks within their portfolios.</w:t>
            </w:r>
          </w:p>
          <w:p w14:paraId="39FC6AFA" w14:textId="2211EE3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2AD5698" w:rsidR="008C4722"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EDFE906" w:rsidR="007B7DEE" w:rsidRPr="00CF2E7C" w:rsidRDefault="0031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2AB674C"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7723B10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1D7335E" w:rsidR="00ED7E12" w:rsidRPr="00CF2E7C" w:rsidRDefault="002B75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064A536B"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AF49490" w:rsidR="00ED7E12" w:rsidRPr="00CF2E7C" w:rsidRDefault="005653F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7074F2" w14:textId="32A2498D" w:rsidR="009C3714" w:rsidRDefault="009C37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E30005">
              <w:rPr>
                <w:rFonts w:ascii="Calibri" w:eastAsia="Times New Roman" w:hAnsi="Calibri" w:cs="Calibri"/>
                <w:kern w:val="0"/>
                <w:lang w:eastAsia="en-GB"/>
                <w14:ligatures w14:val="none"/>
              </w:rPr>
              <w:t>Pursuant to the PRA’s supervisory statement</w:t>
            </w:r>
            <w:r>
              <w:rPr>
                <w:rFonts w:ascii="Calibri" w:eastAsia="Times New Roman" w:hAnsi="Calibri" w:cs="Calibri"/>
                <w:kern w:val="0"/>
                <w:lang w:eastAsia="en-GB"/>
                <w14:ligatures w14:val="none"/>
              </w:rPr>
              <w:t xml:space="preserve"> SS3/19</w:t>
            </w:r>
            <w:r w:rsidR="00E30005">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banks are obliged to:</w:t>
            </w:r>
          </w:p>
          <w:p w14:paraId="6A42F0BB" w14:textId="14458122" w:rsidR="009C3714" w:rsidRDefault="00E30005" w:rsidP="009C3714">
            <w:pPr>
              <w:pStyle w:val="ListBullet"/>
              <w:rPr>
                <w:lang w:eastAsia="en-GB"/>
              </w:rPr>
            </w:pPr>
            <w:r>
              <w:rPr>
                <w:lang w:eastAsia="en-GB"/>
              </w:rPr>
              <w:t>i</w:t>
            </w:r>
            <w:r w:rsidR="009C3714">
              <w:rPr>
                <w:lang w:eastAsia="en-GB"/>
              </w:rPr>
              <w:t>ncorporate climate risks into their risk management practices</w:t>
            </w:r>
            <w:r>
              <w:rPr>
                <w:lang w:eastAsia="en-GB"/>
              </w:rPr>
              <w:t>;</w:t>
            </w:r>
            <w:r w:rsidR="009C3714">
              <w:rPr>
                <w:lang w:eastAsia="en-GB"/>
              </w:rPr>
              <w:t xml:space="preserve"> </w:t>
            </w:r>
          </w:p>
          <w:p w14:paraId="1128A13A" w14:textId="0944B8B1" w:rsidR="009C3714" w:rsidRDefault="00E30005" w:rsidP="009C3714">
            <w:pPr>
              <w:pStyle w:val="ListBullet"/>
              <w:rPr>
                <w:lang w:eastAsia="en-GB"/>
              </w:rPr>
            </w:pPr>
            <w:r>
              <w:rPr>
                <w:lang w:eastAsia="en-GB"/>
              </w:rPr>
              <w:t>a</w:t>
            </w:r>
            <w:r w:rsidR="009C3714">
              <w:rPr>
                <w:lang w:eastAsia="en-GB"/>
              </w:rPr>
              <w:t>llocate responsibility for climate change to Senior Management</w:t>
            </w:r>
            <w:r>
              <w:rPr>
                <w:lang w:eastAsia="en-GB"/>
              </w:rPr>
              <w:t>;</w:t>
            </w:r>
          </w:p>
          <w:p w14:paraId="35E34808" w14:textId="70DF274C" w:rsidR="009C3714" w:rsidRDefault="00E30005" w:rsidP="009C3714">
            <w:pPr>
              <w:pStyle w:val="ListBullet"/>
              <w:rPr>
                <w:lang w:eastAsia="en-GB"/>
              </w:rPr>
            </w:pPr>
            <w:r>
              <w:rPr>
                <w:lang w:eastAsia="en-GB"/>
              </w:rPr>
              <w:t>e</w:t>
            </w:r>
            <w:r w:rsidR="009C3714">
              <w:rPr>
                <w:lang w:eastAsia="en-GB"/>
              </w:rPr>
              <w:t>mbed climate risks into business-as-usual risk management</w:t>
            </w:r>
            <w:r>
              <w:rPr>
                <w:lang w:eastAsia="en-GB"/>
              </w:rPr>
              <w:t>; and</w:t>
            </w:r>
            <w:r w:rsidR="009C3714">
              <w:rPr>
                <w:lang w:eastAsia="en-GB"/>
              </w:rPr>
              <w:t xml:space="preserve"> </w:t>
            </w:r>
          </w:p>
          <w:p w14:paraId="52C47CEC" w14:textId="54C6782B" w:rsidR="00D621F8" w:rsidRDefault="00E30005" w:rsidP="009C3714">
            <w:pPr>
              <w:pStyle w:val="ListBullet"/>
              <w:rPr>
                <w:lang w:eastAsia="en-GB"/>
              </w:rPr>
            </w:pPr>
            <w:r>
              <w:rPr>
                <w:lang w:eastAsia="en-GB"/>
              </w:rPr>
              <w:t>r</w:t>
            </w:r>
            <w:r w:rsidR="00D621F8">
              <w:rPr>
                <w:lang w:eastAsia="en-GB"/>
              </w:rPr>
              <w:t>emediate data limitations and gaps</w:t>
            </w:r>
            <w:r>
              <w:rPr>
                <w:lang w:eastAsia="en-GB"/>
              </w:rPr>
              <w:t>.</w:t>
            </w:r>
          </w:p>
          <w:p w14:paraId="5E5DB62F" w14:textId="77777777" w:rsidR="009C3714" w:rsidRDefault="009C3714" w:rsidP="009C3714">
            <w:pPr>
              <w:pStyle w:val="ListBullet"/>
              <w:numPr>
                <w:ilvl w:val="0"/>
                <w:numId w:val="0"/>
              </w:numPr>
              <w:ind w:left="360" w:hanging="360"/>
              <w:rPr>
                <w:lang w:eastAsia="en-GB"/>
              </w:rPr>
            </w:pPr>
          </w:p>
          <w:p w14:paraId="0A39E4A8" w14:textId="0D6EA7DE" w:rsidR="00A2613C" w:rsidRDefault="009C3714" w:rsidP="00A2613C">
            <w:pPr>
              <w:pStyle w:val="ListBullet"/>
              <w:numPr>
                <w:ilvl w:val="0"/>
                <w:numId w:val="0"/>
              </w:numPr>
              <w:rPr>
                <w:lang w:eastAsia="en-GB"/>
              </w:rPr>
            </w:pPr>
            <w:r>
              <w:rPr>
                <w:lang w:eastAsia="en-GB"/>
              </w:rPr>
              <w:t xml:space="preserve">The CBES </w:t>
            </w:r>
            <w:r w:rsidR="00D621F8">
              <w:rPr>
                <w:lang w:eastAsia="en-GB"/>
              </w:rPr>
              <w:t>is a voluntary exercise</w:t>
            </w:r>
            <w:r w:rsidR="00506C48">
              <w:rPr>
                <w:lang w:eastAsia="en-GB"/>
              </w:rPr>
              <w:t>. It does not strictly ‘verify’ compliance with obligations, but it does ‘monitor’ compliance</w:t>
            </w:r>
            <w:r w:rsidR="00A2613C">
              <w:rPr>
                <w:lang w:eastAsia="en-GB"/>
              </w:rPr>
              <w:t xml:space="preserve"> to the following extent:</w:t>
            </w:r>
          </w:p>
          <w:p w14:paraId="4FD05E82" w14:textId="25B7876B" w:rsidR="00A2613C" w:rsidRDefault="00A2613C" w:rsidP="00A2613C">
            <w:pPr>
              <w:pStyle w:val="ListBullet"/>
              <w:rPr>
                <w:lang w:eastAsia="en-GB"/>
              </w:rPr>
            </w:pPr>
            <w:r>
              <w:rPr>
                <w:lang w:eastAsia="en-GB"/>
              </w:rPr>
              <w:t xml:space="preserve">the Bank provides ongoing supervisory engagement by publishing CBES results (Section 2.2: Scenarios), offering firm-specific feedback, and helping participants address data gaps (Section 6: Actions and next steps); </w:t>
            </w:r>
          </w:p>
          <w:p w14:paraId="07C6815D" w14:textId="6207F7A8" w:rsidR="00A2613C" w:rsidRDefault="00A2613C" w:rsidP="00A2613C">
            <w:pPr>
              <w:pStyle w:val="ListBullet"/>
              <w:rPr>
                <w:lang w:eastAsia="en-GB"/>
              </w:rPr>
            </w:pPr>
            <w:r>
              <w:rPr>
                <w:lang w:eastAsia="en-GB"/>
              </w:rPr>
              <w:t>findings on climate risk management play a role in the PRA’s assessment of firms against the Bank’s supervisory expectations as set out in SS3/19; and</w:t>
            </w:r>
          </w:p>
          <w:p w14:paraId="42FF8A1B" w14:textId="223964CA" w:rsidR="00A2613C" w:rsidRPr="00A2613C" w:rsidRDefault="00A2613C" w:rsidP="00A2613C">
            <w:pPr>
              <w:pStyle w:val="ListBullet"/>
              <w:rPr>
                <w:lang w:eastAsia="en-GB"/>
              </w:rPr>
            </w:pPr>
            <w:r>
              <w:rPr>
                <w:lang w:eastAsia="en-GB"/>
              </w:rPr>
              <w:t xml:space="preserve">CBES findings will inform the Financial Policy Committee and PRA’s approach to system-wide policy issues relating to climate risk, with overarching lessons shared across government and industry (Section 6.1: Informing the Bank’s wider work on climate).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8" w:name="_Section_5.1:_Risk"/>
      <w:bookmarkStart w:id="49" w:name="_Toc198223634"/>
      <w:bookmarkEnd w:id="48"/>
      <w:r>
        <w:t>Section 5.</w:t>
      </w:r>
      <w:r w:rsidR="00455E1B">
        <w:t>2.</w:t>
      </w:r>
      <w:r>
        <w:t xml:space="preserve">1: </w:t>
      </w:r>
      <w:r w:rsidR="00B24E10" w:rsidRPr="009C4D10">
        <w:t>Risk management and governance</w:t>
      </w:r>
      <w:bookmarkEnd w:id="49"/>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50" w:name="_5.3.1_Risk_management"/>
            <w:bookmarkEnd w:id="50"/>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4E2E51F8" w:rsidR="00702413" w:rsidRPr="00CF2E7C" w:rsidRDefault="002B75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3929B5D" w:rsidR="00702413" w:rsidRPr="00CF2E7C" w:rsidRDefault="00494DD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E68166E" w:rsidR="00702413" w:rsidRPr="00CF2E7C" w:rsidRDefault="002B75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57B323D8"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454E246B" w:rsidR="00702413" w:rsidRPr="00CF2E7C" w:rsidRDefault="002B75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3E287C10"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C71AEB" w:rsidR="00702413" w:rsidRPr="00CF2E7C" w:rsidRDefault="00494DD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359090BF" w:rsidR="00702413" w:rsidRPr="00CF2E7C" w:rsidRDefault="002B75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58C57510" w:rsidR="00C82860" w:rsidRPr="00CF2E7C" w:rsidRDefault="002B75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25F6F7BB" w:rsidR="00C82860" w:rsidRPr="00CF2E7C" w:rsidRDefault="00494DD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78C134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B758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72B3A54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3C6F94D0" w:rsidR="00C82860" w:rsidRPr="00CF2E7C" w:rsidRDefault="002B758A" w:rsidP="00CF2E7C">
            <w:pPr>
              <w:tabs>
                <w:tab w:val="center" w:pos="843"/>
              </w:tabs>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09A530D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3F44CDC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B758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7F8087B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514674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B758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00E26E11"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443826" w14:textId="6DCB12E7" w:rsidR="00A24664" w:rsidRDefault="00A246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following metrics were used to determine where climate risks were concentrated:</w:t>
            </w:r>
          </w:p>
          <w:p w14:paraId="505F05DF" w14:textId="5E0FE9FB" w:rsidR="00C82860" w:rsidRDefault="002B758A" w:rsidP="00E30005">
            <w:pPr>
              <w:pStyle w:val="ListParagraph"/>
              <w:numPr>
                <w:ilvl w:val="0"/>
                <w:numId w:val="53"/>
              </w:numPr>
              <w:textAlignment w:val="baseline"/>
              <w:rPr>
                <w:rFonts w:ascii="Calibri" w:eastAsia="Times New Roman" w:hAnsi="Calibri" w:cs="Calibri"/>
                <w:kern w:val="0"/>
                <w:lang w:eastAsia="en-GB"/>
                <w14:ligatures w14:val="none"/>
              </w:rPr>
            </w:pPr>
            <w:r w:rsidRPr="00E30005">
              <w:rPr>
                <w:rFonts w:ascii="Calibri" w:eastAsia="Times New Roman" w:hAnsi="Calibri" w:cs="Calibri"/>
                <w:kern w:val="0"/>
                <w:lang w:eastAsia="en-GB"/>
                <w14:ligatures w14:val="none"/>
              </w:rPr>
              <w:t>Exposure to geographical areas with higher climate physical risk / higher climate transition risk</w:t>
            </w:r>
          </w:p>
          <w:p w14:paraId="14CF4E71" w14:textId="77777777" w:rsidR="00E30005" w:rsidRPr="00E30005" w:rsidRDefault="00E30005" w:rsidP="00E30005">
            <w:pPr>
              <w:pStyle w:val="ListParagraph"/>
              <w:numPr>
                <w:ilvl w:val="1"/>
                <w:numId w:val="53"/>
              </w:numPr>
              <w:textAlignment w:val="baseline"/>
              <w:rPr>
                <w:rFonts w:ascii="Calibri" w:eastAsia="Times New Roman" w:hAnsi="Calibri" w:cs="Calibri"/>
                <w:kern w:val="0"/>
                <w:lang w:eastAsia="en-GB"/>
                <w14:ligatures w14:val="none"/>
              </w:rPr>
            </w:pPr>
            <w:r w:rsidRPr="00E30005">
              <w:rPr>
                <w:rFonts w:ascii="Calibri" w:eastAsia="Times New Roman" w:hAnsi="Calibri" w:cs="Calibri"/>
                <w:kern w:val="0"/>
                <w:lang w:eastAsia="en-GB"/>
                <w14:ligatures w14:val="none"/>
              </w:rPr>
              <w:t>Banks used geographic concentration metrics when calculating their exposure to climate related physical risk (Section 4.1.2: Impact on retail lending).</w:t>
            </w:r>
          </w:p>
          <w:p w14:paraId="7000F2D4" w14:textId="77777777" w:rsidR="00E30005" w:rsidRPr="00E30005" w:rsidRDefault="00E30005" w:rsidP="00E30005">
            <w:pPr>
              <w:pStyle w:val="ListParagraph"/>
              <w:numPr>
                <w:ilvl w:val="1"/>
                <w:numId w:val="53"/>
              </w:numPr>
              <w:textAlignment w:val="baseline"/>
              <w:rPr>
                <w:rFonts w:ascii="Calibri" w:eastAsia="Times New Roman" w:hAnsi="Calibri" w:cs="Calibri"/>
                <w:kern w:val="0"/>
                <w:lang w:eastAsia="en-GB"/>
                <w14:ligatures w14:val="none"/>
              </w:rPr>
            </w:pPr>
            <w:r w:rsidRPr="00E30005">
              <w:rPr>
                <w:rFonts w:ascii="Calibri" w:eastAsia="Times New Roman" w:hAnsi="Calibri" w:cs="Calibri"/>
                <w:kern w:val="0"/>
                <w:lang w:eastAsia="en-GB"/>
                <w14:ligatures w14:val="none"/>
              </w:rPr>
              <w:t xml:space="preserve">Banks used geographic concentration metrics when calculating their exposure to climate-related transition risk (Section 4.1.1: Impact on corporate exposures). </w:t>
            </w:r>
          </w:p>
          <w:p w14:paraId="6F70AE8B" w14:textId="77777777" w:rsidR="00E30005" w:rsidRPr="00E30005" w:rsidRDefault="00E30005" w:rsidP="00E30005">
            <w:pPr>
              <w:pStyle w:val="ListParagraph"/>
              <w:numPr>
                <w:ilvl w:val="1"/>
                <w:numId w:val="53"/>
              </w:numPr>
              <w:textAlignment w:val="baseline"/>
              <w:rPr>
                <w:rFonts w:ascii="Calibri" w:eastAsia="Times New Roman" w:hAnsi="Calibri" w:cs="Calibri"/>
                <w:kern w:val="0"/>
                <w:lang w:eastAsia="en-GB"/>
                <w14:ligatures w14:val="none"/>
              </w:rPr>
            </w:pPr>
            <w:r w:rsidRPr="00E30005">
              <w:rPr>
                <w:rFonts w:ascii="Calibri" w:eastAsia="Times New Roman" w:hAnsi="Calibri" w:cs="Calibri"/>
                <w:kern w:val="0"/>
                <w:lang w:eastAsia="en-GB"/>
                <w14:ligatures w14:val="none"/>
              </w:rPr>
              <w:t xml:space="preserve"> Insurers used postcode-level metrics when calculating their exposure to climate-related physical risk (Section 4.2.2 Impact on general insurers’ liabilities). </w:t>
            </w:r>
          </w:p>
          <w:p w14:paraId="7E7C4DDC" w14:textId="10AF064F" w:rsidR="00A24664" w:rsidRPr="00BE78C2" w:rsidRDefault="00E30005" w:rsidP="00BE78C2">
            <w:pPr>
              <w:pStyle w:val="ListParagraph"/>
              <w:numPr>
                <w:ilvl w:val="0"/>
                <w:numId w:val="53"/>
              </w:numPr>
              <w:textAlignment w:val="baseline"/>
              <w:rPr>
                <w:rFonts w:ascii="Calibri" w:eastAsia="Times New Roman" w:hAnsi="Calibri" w:cs="Calibri"/>
                <w:kern w:val="0"/>
                <w:lang w:eastAsia="en-GB"/>
                <w14:ligatures w14:val="none"/>
              </w:rPr>
            </w:pPr>
            <w:r>
              <w:rPr>
                <w:lang w:eastAsia="en-GB"/>
              </w:rPr>
              <w:t>Exposure to economic sectors with higher climate physical risk / higher climate transition risk</w:t>
            </w:r>
          </w:p>
          <w:p w14:paraId="0382ABC9" w14:textId="77777777" w:rsidR="00BE78C2" w:rsidRPr="00BE78C2" w:rsidRDefault="00BE78C2" w:rsidP="00BE78C2">
            <w:pPr>
              <w:pStyle w:val="ListParagraph"/>
              <w:numPr>
                <w:ilvl w:val="1"/>
                <w:numId w:val="53"/>
              </w:numPr>
              <w:textAlignment w:val="baseline"/>
              <w:rPr>
                <w:rFonts w:ascii="Calibri" w:eastAsia="Times New Roman" w:hAnsi="Calibri" w:cs="Calibri"/>
                <w:kern w:val="0"/>
                <w:lang w:eastAsia="en-GB"/>
                <w14:ligatures w14:val="none"/>
              </w:rPr>
            </w:pPr>
            <w:r w:rsidRPr="00BE78C2">
              <w:rPr>
                <w:rFonts w:ascii="Calibri" w:eastAsia="Times New Roman" w:hAnsi="Calibri" w:cs="Calibri"/>
                <w:kern w:val="0"/>
                <w:lang w:eastAsia="en-GB"/>
                <w14:ligatures w14:val="none"/>
              </w:rPr>
              <w:t xml:space="preserve">Banks and insurers used sectoral metrics when calculating their exposure to climate-related transition risk (Section 4.1.1: Impact on corporate exposures). </w:t>
            </w:r>
          </w:p>
          <w:p w14:paraId="61D4EDB5" w14:textId="2351BA30" w:rsidR="00BE78C2" w:rsidRPr="00BE78C2" w:rsidRDefault="00BE78C2" w:rsidP="00BE78C2">
            <w:pPr>
              <w:pStyle w:val="ListParagraph"/>
              <w:numPr>
                <w:ilvl w:val="1"/>
                <w:numId w:val="53"/>
              </w:numPr>
              <w:textAlignment w:val="baseline"/>
              <w:rPr>
                <w:rFonts w:ascii="Calibri" w:eastAsia="Times New Roman" w:hAnsi="Calibri" w:cs="Calibri"/>
                <w:kern w:val="0"/>
                <w:lang w:eastAsia="en-GB"/>
                <w14:ligatures w14:val="none"/>
              </w:rPr>
            </w:pPr>
            <w:r w:rsidRPr="00BE78C2">
              <w:rPr>
                <w:rFonts w:ascii="Calibri" w:eastAsia="Times New Roman" w:hAnsi="Calibri" w:cs="Calibri"/>
                <w:kern w:val="0"/>
                <w:lang w:eastAsia="en-GB"/>
                <w14:ligatures w14:val="none"/>
              </w:rPr>
              <w:t>Banks / Insurers used sectoral metrics when calculating their exposure to climate-related physical risks (Section 4.2.1 Impact on insurers’ assets</w:t>
            </w:r>
            <w:r>
              <w:rPr>
                <w:rFonts w:ascii="Calibri" w:eastAsia="Times New Roman" w:hAnsi="Calibri" w:cs="Calibri"/>
                <w:kern w:val="0"/>
                <w:lang w:eastAsia="en-GB"/>
                <w14:ligatures w14:val="none"/>
              </w:rPr>
              <w:t>).</w:t>
            </w:r>
          </w:p>
          <w:p w14:paraId="68C022DF" w14:textId="77777777" w:rsidR="00FA21E5" w:rsidRDefault="00FA21E5" w:rsidP="00FA21E5">
            <w:pPr>
              <w:pStyle w:val="ListBullet"/>
              <w:numPr>
                <w:ilvl w:val="0"/>
                <w:numId w:val="0"/>
              </w:numPr>
              <w:ind w:left="360" w:hanging="360"/>
              <w:rPr>
                <w:lang w:eastAsia="en-GB"/>
              </w:rPr>
            </w:pPr>
          </w:p>
          <w:p w14:paraId="593BA361" w14:textId="2D931875" w:rsidR="00FA21E5" w:rsidRPr="00CF2E7C" w:rsidRDefault="00FA21E5" w:rsidP="00FA21E5">
            <w:pPr>
              <w:pStyle w:val="ListBullet"/>
              <w:numPr>
                <w:ilvl w:val="0"/>
                <w:numId w:val="0"/>
              </w:numPr>
              <w:ind w:left="360" w:hanging="360"/>
              <w:rPr>
                <w:lang w:eastAsia="en-GB"/>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51" w:name="_Section_5.2:_Scenario"/>
      <w:bookmarkStart w:id="52" w:name="_Toc198223635"/>
      <w:bookmarkEnd w:id="51"/>
      <w:r>
        <w:t>Section 5.2</w:t>
      </w:r>
      <w:r w:rsidR="00455E1B">
        <w:t>.2</w:t>
      </w:r>
      <w:r>
        <w:t xml:space="preserve">: </w:t>
      </w:r>
      <w:r w:rsidRPr="009C4D10">
        <w:t>Scenario analysis and stress-testing</w:t>
      </w:r>
      <w:bookmarkEnd w:id="52"/>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3" w:name="_5.3.2_Scenario_analysis"/>
            <w:bookmarkEnd w:id="53"/>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509AC82E" w:rsidR="00655FF7" w:rsidRPr="00CF2E7C" w:rsidRDefault="00454B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663F8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FCADFDA" w14:textId="624102E6"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663F8D">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DC356B1" w14:textId="4ED1D0B8"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2D63590" w:rsidR="003032A9" w:rsidRPr="00CF2E7C" w:rsidRDefault="00663F8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58A1E938" w:rsidR="009818E7" w:rsidRPr="00CF2E7C" w:rsidRDefault="00663F8D" w:rsidP="00663F8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CBES involved the </w:t>
            </w:r>
            <w:r w:rsidRPr="00663F8D">
              <w:rPr>
                <w:rFonts w:ascii="Calibri" w:eastAsia="Times New Roman" w:hAnsi="Calibri" w:cs="Calibri"/>
                <w:kern w:val="0"/>
                <w:lang w:eastAsia="en-GB"/>
                <w14:ligatures w14:val="none"/>
              </w:rPr>
              <w:t>largest UK banks and insurers</w:t>
            </w:r>
            <w:r>
              <w:rPr>
                <w:rFonts w:ascii="Calibri" w:eastAsia="Times New Roman" w:hAnsi="Calibri" w:cs="Calibri"/>
                <w:kern w:val="0"/>
                <w:lang w:eastAsia="en-GB"/>
                <w14:ligatures w14:val="none"/>
              </w:rPr>
              <w:t xml:space="preserve"> (Section 1: Executive Summary), including Barclays, HSBC, Lloy</w:t>
            </w:r>
            <w:r w:rsidR="00454B1E">
              <w:rPr>
                <w:rFonts w:ascii="Calibri" w:eastAsia="Times New Roman" w:hAnsi="Calibri" w:cs="Calibri"/>
                <w:kern w:val="0"/>
                <w:lang w:eastAsia="en-GB"/>
                <w14:ligatures w14:val="none"/>
              </w:rPr>
              <w:t>d</w:t>
            </w:r>
            <w:r>
              <w:rPr>
                <w:rFonts w:ascii="Calibri" w:eastAsia="Times New Roman" w:hAnsi="Calibri" w:cs="Calibri"/>
                <w:kern w:val="0"/>
                <w:lang w:eastAsia="en-GB"/>
                <w14:ligatures w14:val="none"/>
              </w:rPr>
              <w:t>s Banking Group, Nati</w:t>
            </w:r>
            <w:r w:rsidRPr="00663F8D">
              <w:rPr>
                <w:rFonts w:ascii="Calibri" w:eastAsia="Times New Roman" w:hAnsi="Calibri" w:cs="Calibri"/>
                <w:kern w:val="0"/>
                <w:lang w:eastAsia="en-GB"/>
                <w14:ligatures w14:val="none"/>
              </w:rPr>
              <w:t>onwide Building Society</w:t>
            </w:r>
            <w:r>
              <w:rPr>
                <w:rFonts w:ascii="Calibri" w:eastAsia="Times New Roman" w:hAnsi="Calibri" w:cs="Calibri"/>
                <w:kern w:val="0"/>
                <w:lang w:eastAsia="en-GB"/>
                <w14:ligatures w14:val="none"/>
              </w:rPr>
              <w:t xml:space="preserve">, </w:t>
            </w:r>
            <w:r w:rsidRPr="00663F8D">
              <w:rPr>
                <w:rFonts w:ascii="Calibri" w:eastAsia="Times New Roman" w:hAnsi="Calibri" w:cs="Calibri"/>
                <w:kern w:val="0"/>
                <w:lang w:eastAsia="en-GB"/>
                <w14:ligatures w14:val="none"/>
              </w:rPr>
              <w:t>NatWest Group</w:t>
            </w:r>
            <w:r>
              <w:rPr>
                <w:rFonts w:ascii="Calibri" w:eastAsia="Times New Roman" w:hAnsi="Calibri" w:cs="Calibri"/>
                <w:kern w:val="0"/>
                <w:lang w:eastAsia="en-GB"/>
                <w14:ligatures w14:val="none"/>
              </w:rPr>
              <w:t xml:space="preserve">, </w:t>
            </w:r>
            <w:r w:rsidRPr="00663F8D">
              <w:rPr>
                <w:rFonts w:ascii="Calibri" w:eastAsia="Times New Roman" w:hAnsi="Calibri" w:cs="Calibri"/>
                <w:kern w:val="0"/>
                <w:lang w:eastAsia="en-GB"/>
                <w14:ligatures w14:val="none"/>
              </w:rPr>
              <w:t>Santander UK</w:t>
            </w:r>
            <w:r>
              <w:rPr>
                <w:rFonts w:ascii="Calibri" w:eastAsia="Times New Roman" w:hAnsi="Calibri" w:cs="Calibri"/>
                <w:kern w:val="0"/>
                <w:lang w:eastAsia="en-GB"/>
                <w14:ligatures w14:val="none"/>
              </w:rPr>
              <w:t xml:space="preserve">, </w:t>
            </w:r>
            <w:r w:rsidRPr="00663F8D">
              <w:rPr>
                <w:rFonts w:ascii="Calibri" w:eastAsia="Times New Roman" w:hAnsi="Calibri" w:cs="Calibri"/>
                <w:kern w:val="0"/>
                <w:lang w:eastAsia="en-GB"/>
                <w14:ligatures w14:val="none"/>
              </w:rPr>
              <w:t>Standard Chartered</w:t>
            </w:r>
            <w:r>
              <w:rPr>
                <w:rFonts w:ascii="Calibri" w:eastAsia="Times New Roman" w:hAnsi="Calibri" w:cs="Calibri"/>
                <w:kern w:val="0"/>
                <w:lang w:eastAsia="en-GB"/>
                <w14:ligatures w14:val="none"/>
              </w:rPr>
              <w:t>, Aviva, Legal &amp; General, M&amp;G, Phoenix, Scottish Widows, Allianz Holdings plc, Aviva, AXA, Direct Line, RSA, AIG and Society of Lloyds (Table 2.A: CBES participation and coverage). No particular selection criteria were identified.</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3BA28ED5" w:rsidR="003D5104" w:rsidRPr="00CF2E7C" w:rsidRDefault="009215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78E2797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35A8713"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62FCAA42"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644AF">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2190D412" w:rsidR="00BE1F9E" w:rsidRPr="00CF2E7C" w:rsidRDefault="00307762" w:rsidP="00663F8D">
            <w:pPr>
              <w:textAlignment w:val="baseline"/>
              <w:rPr>
                <w:rFonts w:ascii="Calibri" w:eastAsia="Times New Roman" w:hAnsi="Calibri" w:cs="Calibri"/>
                <w:kern w:val="0"/>
                <w:lang w:eastAsia="en-GB"/>
                <w14:ligatures w14:val="none"/>
              </w:rPr>
            </w:pPr>
            <w:r w:rsidRPr="00307762">
              <w:rPr>
                <w:rFonts w:ascii="Calibri" w:eastAsia="Times New Roman" w:hAnsi="Calibri" w:cs="Calibri"/>
                <w:kern w:val="0"/>
                <w:lang w:eastAsia="en-GB"/>
                <w14:ligatures w14:val="none"/>
              </w:rPr>
              <w:t>The CBES scenarios are based on a subset of NGFS climate scenarios</w:t>
            </w:r>
            <w:r w:rsidR="00663F8D">
              <w:rPr>
                <w:rFonts w:ascii="Calibri" w:eastAsia="Times New Roman" w:hAnsi="Calibri" w:cs="Calibri"/>
                <w:kern w:val="0"/>
                <w:lang w:eastAsia="en-GB"/>
                <w14:ligatures w14:val="none"/>
              </w:rPr>
              <w:t>, taking</w:t>
            </w:r>
            <w:r w:rsidR="00663F8D" w:rsidRPr="00307762">
              <w:rPr>
                <w:rFonts w:ascii="Calibri" w:eastAsia="Times New Roman" w:hAnsi="Calibri" w:cs="Calibri"/>
                <w:kern w:val="0"/>
                <w:lang w:eastAsia="en-GB"/>
                <w14:ligatures w14:val="none"/>
              </w:rPr>
              <w:t xml:space="preserve"> the NGFS Net Zero 2050, Delayed Transition and Current Policies scenarios as starting point</w:t>
            </w:r>
            <w:r w:rsidR="00663F8D">
              <w:rPr>
                <w:rFonts w:ascii="Calibri" w:eastAsia="Times New Roman" w:hAnsi="Calibri" w:cs="Calibri"/>
                <w:kern w:val="0"/>
                <w:lang w:eastAsia="en-GB"/>
                <w14:ligatures w14:val="none"/>
              </w:rPr>
              <w:t>s</w:t>
            </w:r>
            <w:r w:rsidR="00663F8D" w:rsidRPr="00307762">
              <w:rPr>
                <w:rFonts w:ascii="Calibri" w:eastAsia="Times New Roman" w:hAnsi="Calibri" w:cs="Calibri"/>
                <w:kern w:val="0"/>
                <w:lang w:eastAsia="en-GB"/>
                <w14:ligatures w14:val="none"/>
              </w:rPr>
              <w:t>.</w:t>
            </w:r>
            <w:r w:rsidR="00663F8D">
              <w:rPr>
                <w:rFonts w:ascii="Calibri" w:eastAsia="Times New Roman" w:hAnsi="Calibri" w:cs="Calibri"/>
                <w:kern w:val="0"/>
                <w:lang w:eastAsia="en-GB"/>
                <w14:ligatures w14:val="none"/>
              </w:rPr>
              <w:t xml:space="preserve"> (Section 2.2: Scenarios)</w:t>
            </w:r>
            <w:r w:rsidR="00085672">
              <w:rPr>
                <w:rFonts w:ascii="Calibri" w:eastAsia="Times New Roman" w:hAnsi="Calibri" w:cs="Calibri"/>
                <w:kern w:val="0"/>
                <w:lang w:eastAsia="en-GB"/>
                <w14:ligatures w14:val="none"/>
              </w:rPr>
              <w:t xml:space="preserve">. </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6398ECD9" w:rsidR="00DC31BF" w:rsidRPr="00CF2E7C" w:rsidRDefault="009215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6450453D" w:rsidR="0098226E" w:rsidRPr="00CF2E7C" w:rsidRDefault="009215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4147F4E" w:rsidR="00F10A6E" w:rsidRPr="00CF2E7C" w:rsidRDefault="00AE20B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E1D8132" w14:textId="35E08D89" w:rsidR="00307762" w:rsidRDefault="003077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3 Scenarios </w:t>
            </w:r>
            <w:r w:rsidR="00663F8D">
              <w:rPr>
                <w:rFonts w:ascii="Calibri" w:eastAsia="Times New Roman" w:hAnsi="Calibri" w:cs="Calibri"/>
                <w:kern w:val="0"/>
                <w:lang w:eastAsia="en-GB"/>
                <w14:ligatures w14:val="none"/>
              </w:rPr>
              <w:t>were</w:t>
            </w:r>
            <w:r>
              <w:rPr>
                <w:rFonts w:ascii="Calibri" w:eastAsia="Times New Roman" w:hAnsi="Calibri" w:cs="Calibri"/>
                <w:kern w:val="0"/>
                <w:lang w:eastAsia="en-GB"/>
                <w14:ligatures w14:val="none"/>
              </w:rPr>
              <w:t xml:space="preserve"> tested with a time horizon of 30 years each</w:t>
            </w:r>
            <w:r w:rsidR="00663F8D">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p>
          <w:p w14:paraId="3F3F642E" w14:textId="3334A2CB" w:rsidR="00F10A6E" w:rsidRPr="00663F8D" w:rsidRDefault="00AE20B9" w:rsidP="00663F8D">
            <w:pPr>
              <w:pStyle w:val="ListParagraph"/>
              <w:numPr>
                <w:ilvl w:val="0"/>
                <w:numId w:val="54"/>
              </w:numPr>
              <w:textAlignment w:val="baseline"/>
              <w:rPr>
                <w:rFonts w:ascii="Calibri" w:eastAsia="Times New Roman" w:hAnsi="Calibri" w:cs="Calibri"/>
                <w:kern w:val="0"/>
                <w:lang w:eastAsia="en-GB"/>
                <w14:ligatures w14:val="none"/>
              </w:rPr>
            </w:pPr>
            <w:r w:rsidRPr="00663F8D">
              <w:rPr>
                <w:rFonts w:ascii="Calibri" w:eastAsia="Times New Roman" w:hAnsi="Calibri" w:cs="Calibri"/>
                <w:kern w:val="0"/>
                <w:lang w:eastAsia="en-GB"/>
                <w14:ligatures w14:val="none"/>
              </w:rPr>
              <w:t xml:space="preserve">Early </w:t>
            </w:r>
            <w:r w:rsidR="00307762" w:rsidRPr="00663F8D">
              <w:rPr>
                <w:rFonts w:ascii="Calibri" w:eastAsia="Times New Roman" w:hAnsi="Calibri" w:cs="Calibri"/>
                <w:kern w:val="0"/>
                <w:lang w:eastAsia="en-GB"/>
                <w14:ligatures w14:val="none"/>
              </w:rPr>
              <w:t xml:space="preserve">Action: Transition to </w:t>
            </w:r>
            <w:r w:rsidR="00663F8D" w:rsidRPr="00663F8D">
              <w:rPr>
                <w:rFonts w:ascii="Calibri" w:eastAsia="Times New Roman" w:hAnsi="Calibri" w:cs="Calibri"/>
                <w:kern w:val="0"/>
                <w:lang w:eastAsia="en-GB"/>
                <w14:ligatures w14:val="none"/>
              </w:rPr>
              <w:t>n</w:t>
            </w:r>
            <w:r w:rsidR="00307762" w:rsidRPr="00663F8D">
              <w:rPr>
                <w:rFonts w:ascii="Calibri" w:eastAsia="Times New Roman" w:hAnsi="Calibri" w:cs="Calibri"/>
                <w:kern w:val="0"/>
                <w:lang w:eastAsia="en-GB"/>
                <w14:ligatures w14:val="none"/>
              </w:rPr>
              <w:t xml:space="preserve">et </w:t>
            </w:r>
            <w:r w:rsidR="00663F8D" w:rsidRPr="00663F8D">
              <w:rPr>
                <w:rFonts w:ascii="Calibri" w:eastAsia="Times New Roman" w:hAnsi="Calibri" w:cs="Calibri"/>
                <w:kern w:val="0"/>
                <w:lang w:eastAsia="en-GB"/>
                <w14:ligatures w14:val="none"/>
              </w:rPr>
              <w:t>zero</w:t>
            </w:r>
            <w:r w:rsidR="00307762" w:rsidRPr="00663F8D">
              <w:rPr>
                <w:rFonts w:ascii="Calibri" w:eastAsia="Times New Roman" w:hAnsi="Calibri" w:cs="Calibri"/>
                <w:kern w:val="0"/>
                <w:lang w:eastAsia="en-GB"/>
                <w14:ligatures w14:val="none"/>
              </w:rPr>
              <w:t xml:space="preserve"> begins 2021</w:t>
            </w:r>
            <w:r w:rsidR="00663F8D">
              <w:rPr>
                <w:rFonts w:ascii="Calibri" w:eastAsia="Times New Roman" w:hAnsi="Calibri" w:cs="Calibri"/>
                <w:kern w:val="0"/>
                <w:lang w:eastAsia="en-GB"/>
                <w14:ligatures w14:val="none"/>
              </w:rPr>
              <w:t>;</w:t>
            </w:r>
          </w:p>
          <w:p w14:paraId="339A46C0" w14:textId="009B6191" w:rsidR="00AE20B9" w:rsidRPr="00663F8D" w:rsidRDefault="00AE20B9" w:rsidP="00663F8D">
            <w:pPr>
              <w:pStyle w:val="ListParagraph"/>
              <w:numPr>
                <w:ilvl w:val="0"/>
                <w:numId w:val="54"/>
              </w:numPr>
              <w:textAlignment w:val="baseline"/>
              <w:rPr>
                <w:rFonts w:ascii="Calibri" w:eastAsia="Times New Roman" w:hAnsi="Calibri" w:cs="Calibri"/>
                <w:kern w:val="0"/>
                <w:lang w:eastAsia="en-GB"/>
                <w14:ligatures w14:val="none"/>
              </w:rPr>
            </w:pPr>
            <w:r w:rsidRPr="00663F8D">
              <w:rPr>
                <w:rFonts w:ascii="Calibri" w:eastAsia="Times New Roman" w:hAnsi="Calibri" w:cs="Calibri"/>
                <w:kern w:val="0"/>
                <w:lang w:eastAsia="en-GB"/>
                <w14:ligatures w14:val="none"/>
              </w:rPr>
              <w:t xml:space="preserve">Late </w:t>
            </w:r>
            <w:r w:rsidR="00307762" w:rsidRPr="00663F8D">
              <w:rPr>
                <w:rFonts w:ascii="Calibri" w:eastAsia="Times New Roman" w:hAnsi="Calibri" w:cs="Calibri"/>
                <w:kern w:val="0"/>
                <w:lang w:eastAsia="en-GB"/>
                <w14:ligatures w14:val="none"/>
              </w:rPr>
              <w:t>A</w:t>
            </w:r>
            <w:r w:rsidRPr="00663F8D">
              <w:rPr>
                <w:rFonts w:ascii="Calibri" w:eastAsia="Times New Roman" w:hAnsi="Calibri" w:cs="Calibri"/>
                <w:kern w:val="0"/>
                <w:lang w:eastAsia="en-GB"/>
                <w14:ligatures w14:val="none"/>
              </w:rPr>
              <w:t>ction</w:t>
            </w:r>
            <w:r w:rsidR="00307762" w:rsidRPr="00663F8D">
              <w:rPr>
                <w:rFonts w:ascii="Calibri" w:eastAsia="Times New Roman" w:hAnsi="Calibri" w:cs="Calibri"/>
                <w:kern w:val="0"/>
                <w:lang w:eastAsia="en-GB"/>
                <w14:ligatures w14:val="none"/>
              </w:rPr>
              <w:t xml:space="preserve">: Transition to </w:t>
            </w:r>
            <w:r w:rsidR="00663F8D" w:rsidRPr="00663F8D">
              <w:rPr>
                <w:rFonts w:ascii="Calibri" w:eastAsia="Times New Roman" w:hAnsi="Calibri" w:cs="Calibri"/>
                <w:kern w:val="0"/>
                <w:lang w:eastAsia="en-GB"/>
                <w14:ligatures w14:val="none"/>
              </w:rPr>
              <w:t xml:space="preserve">net zero </w:t>
            </w:r>
            <w:r w:rsidR="00307762" w:rsidRPr="00663F8D">
              <w:rPr>
                <w:rFonts w:ascii="Calibri" w:eastAsia="Times New Roman" w:hAnsi="Calibri" w:cs="Calibri"/>
                <w:kern w:val="0"/>
                <w:lang w:eastAsia="en-GB"/>
                <w14:ligatures w14:val="none"/>
              </w:rPr>
              <w:t>begins 2031</w:t>
            </w:r>
            <w:r w:rsidR="00663F8D">
              <w:rPr>
                <w:rFonts w:ascii="Calibri" w:eastAsia="Times New Roman" w:hAnsi="Calibri" w:cs="Calibri"/>
                <w:kern w:val="0"/>
                <w:lang w:eastAsia="en-GB"/>
                <w14:ligatures w14:val="none"/>
              </w:rPr>
              <w:t>; and</w:t>
            </w:r>
            <w:r w:rsidR="00307762" w:rsidRPr="00663F8D">
              <w:rPr>
                <w:rFonts w:ascii="Calibri" w:eastAsia="Times New Roman" w:hAnsi="Calibri" w:cs="Calibri"/>
                <w:kern w:val="0"/>
                <w:lang w:eastAsia="en-GB"/>
                <w14:ligatures w14:val="none"/>
              </w:rPr>
              <w:t xml:space="preserve"> </w:t>
            </w:r>
            <w:r w:rsidRPr="00663F8D">
              <w:rPr>
                <w:rFonts w:ascii="Calibri" w:eastAsia="Times New Roman" w:hAnsi="Calibri" w:cs="Calibri"/>
                <w:kern w:val="0"/>
                <w:lang w:eastAsia="en-GB"/>
                <w14:ligatures w14:val="none"/>
              </w:rPr>
              <w:t xml:space="preserve"> </w:t>
            </w:r>
          </w:p>
          <w:p w14:paraId="7BF7E5E9" w14:textId="6794E99E" w:rsidR="00754AD6" w:rsidRPr="00663F8D" w:rsidRDefault="00754AD6" w:rsidP="00663F8D">
            <w:pPr>
              <w:pStyle w:val="ListParagraph"/>
              <w:numPr>
                <w:ilvl w:val="0"/>
                <w:numId w:val="54"/>
              </w:numPr>
              <w:textAlignment w:val="baseline"/>
              <w:rPr>
                <w:rFonts w:ascii="Calibri" w:eastAsia="Times New Roman" w:hAnsi="Calibri" w:cs="Calibri"/>
                <w:kern w:val="0"/>
                <w:lang w:eastAsia="en-GB"/>
                <w14:ligatures w14:val="none"/>
              </w:rPr>
            </w:pPr>
            <w:r w:rsidRPr="00663F8D">
              <w:rPr>
                <w:rFonts w:ascii="Calibri" w:eastAsia="Times New Roman" w:hAnsi="Calibri" w:cs="Calibri"/>
                <w:kern w:val="0"/>
                <w:lang w:eastAsia="en-GB"/>
                <w14:ligatures w14:val="none"/>
              </w:rPr>
              <w:t>No Additional Action</w:t>
            </w:r>
            <w:r w:rsidR="00307762" w:rsidRPr="00663F8D">
              <w:rPr>
                <w:rFonts w:ascii="Calibri" w:eastAsia="Times New Roman" w:hAnsi="Calibri" w:cs="Calibri"/>
                <w:kern w:val="0"/>
                <w:lang w:eastAsia="en-GB"/>
                <w14:ligatures w14:val="none"/>
              </w:rPr>
              <w:t>: Only policies that were in place pre-2021 are pursued</w:t>
            </w:r>
            <w:r w:rsidR="00663F8D" w:rsidRPr="00663F8D">
              <w:rPr>
                <w:rFonts w:ascii="Calibri" w:eastAsia="Times New Roman" w:hAnsi="Calibri" w:cs="Calibri"/>
                <w:kern w:val="0"/>
                <w:lang w:eastAsia="en-GB"/>
                <w14:ligatures w14:val="none"/>
              </w:rPr>
              <w:t xml:space="preserve"> (Section 2.2: Scenarios)</w:t>
            </w:r>
            <w:r w:rsidR="00307762" w:rsidRPr="00663F8D">
              <w:rPr>
                <w:rFonts w:ascii="Calibri" w:eastAsia="Times New Roman" w:hAnsi="Calibri" w:cs="Calibri"/>
                <w:kern w:val="0"/>
                <w:lang w:eastAsia="en-GB"/>
                <w14:ligatures w14:val="none"/>
              </w:rPr>
              <w:t xml:space="preserve">. </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2E4A8E8B" w:rsidR="00F26296" w:rsidRPr="00CF2E7C" w:rsidRDefault="001848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79D67F3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28C04C" w14:textId="77777777" w:rsidR="00212EE8" w:rsidRDefault="00212E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CBES findings will:</w:t>
            </w:r>
          </w:p>
          <w:p w14:paraId="7186FF4A" w14:textId="77777777" w:rsidR="00212EE8" w:rsidRDefault="00212EE8" w:rsidP="00212EE8">
            <w:pPr>
              <w:pStyle w:val="ListParagraph"/>
              <w:numPr>
                <w:ilvl w:val="0"/>
                <w:numId w:val="55"/>
              </w:numPr>
              <w:textAlignment w:val="baseline"/>
              <w:rPr>
                <w:rFonts w:ascii="Calibri" w:eastAsia="Times New Roman" w:hAnsi="Calibri" w:cs="Calibri"/>
                <w:kern w:val="0"/>
                <w:lang w:eastAsia="en-GB"/>
                <w14:ligatures w14:val="none"/>
              </w:rPr>
            </w:pPr>
            <w:r w:rsidRPr="00212EE8">
              <w:rPr>
                <w:rFonts w:ascii="Calibri" w:eastAsia="Times New Roman" w:hAnsi="Calibri" w:cs="Calibri"/>
                <w:kern w:val="0"/>
                <w:lang w:eastAsia="en-GB"/>
                <w14:ligatures w14:val="none"/>
              </w:rPr>
              <w:t>inform</w:t>
            </w:r>
            <w:r w:rsidR="007E4153" w:rsidRPr="00212EE8">
              <w:rPr>
                <w:rFonts w:ascii="Calibri" w:eastAsia="Times New Roman" w:hAnsi="Calibri" w:cs="Calibri"/>
                <w:kern w:val="0"/>
                <w:lang w:eastAsia="en-GB"/>
                <w14:ligatures w14:val="none"/>
              </w:rPr>
              <w:t xml:space="preserve"> the Bank’s wider work on managing climate risk</w:t>
            </w:r>
            <w:r w:rsidR="007D7851" w:rsidRPr="00212EE8">
              <w:rPr>
                <w:rFonts w:ascii="Calibri" w:eastAsia="Times New Roman" w:hAnsi="Calibri" w:cs="Calibri"/>
                <w:kern w:val="0"/>
                <w:lang w:eastAsia="en-GB"/>
                <w14:ligatures w14:val="none"/>
              </w:rPr>
              <w:t xml:space="preserve"> (Section 6.1</w:t>
            </w:r>
            <w:r w:rsidRPr="00212EE8">
              <w:rPr>
                <w:rFonts w:ascii="Calibri" w:eastAsia="Times New Roman" w:hAnsi="Calibri" w:cs="Calibri"/>
                <w:kern w:val="0"/>
                <w:lang w:eastAsia="en-GB"/>
                <w14:ligatures w14:val="none"/>
              </w:rPr>
              <w:t>: Informing the Bank’s wider work on climate</w:t>
            </w:r>
            <w:r w:rsidR="007D7851" w:rsidRPr="00212EE8">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
          <w:p w14:paraId="25727E00" w14:textId="038897EC" w:rsidR="00F26296" w:rsidRDefault="00212EE8" w:rsidP="00212EE8">
            <w:pPr>
              <w:pStyle w:val="ListParagraph"/>
              <w:numPr>
                <w:ilvl w:val="0"/>
                <w:numId w:val="55"/>
              </w:numPr>
              <w:textAlignment w:val="baseline"/>
              <w:rPr>
                <w:rFonts w:ascii="Calibri" w:eastAsia="Times New Roman" w:hAnsi="Calibri" w:cs="Calibri"/>
                <w:kern w:val="0"/>
                <w:lang w:eastAsia="en-GB"/>
                <w14:ligatures w14:val="none"/>
              </w:rPr>
            </w:pPr>
            <w:r w:rsidRPr="00212EE8">
              <w:rPr>
                <w:rFonts w:ascii="Calibri" w:eastAsia="Times New Roman" w:hAnsi="Calibri" w:cs="Calibri"/>
                <w:kern w:val="0"/>
                <w:lang w:eastAsia="en-GB"/>
                <w14:ligatures w14:val="none"/>
              </w:rPr>
              <w:t>be used to highlight effective practices observed among participants, helping institutions refine their risk management capabilities (Section 3.3, Box B</w:t>
            </w:r>
            <w:r>
              <w:rPr>
                <w:rFonts w:ascii="Calibri" w:eastAsia="Times New Roman" w:hAnsi="Calibri" w:cs="Calibri"/>
                <w:kern w:val="0"/>
                <w:lang w:eastAsia="en-GB"/>
                <w14:ligatures w14:val="none"/>
              </w:rPr>
              <w:t xml:space="preserve">); </w:t>
            </w:r>
          </w:p>
          <w:p w14:paraId="59EBBD2A" w14:textId="0D6FADA1" w:rsidR="009734FC" w:rsidRDefault="00212EE8" w:rsidP="009734FC">
            <w:pPr>
              <w:pStyle w:val="ListParagraph"/>
              <w:numPr>
                <w:ilvl w:val="0"/>
                <w:numId w:val="55"/>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help the PRA e</w:t>
            </w:r>
            <w:r w:rsidRPr="00212EE8">
              <w:rPr>
                <w:rFonts w:ascii="Calibri" w:eastAsia="Times New Roman" w:hAnsi="Calibri" w:cs="Calibri"/>
                <w:kern w:val="0"/>
                <w:lang w:eastAsia="en-GB"/>
                <w14:ligatures w14:val="none"/>
              </w:rPr>
              <w:t>valuate firms’ progress on regulatory expectations and identify where intensified oversight is needed</w:t>
            </w:r>
            <w:r>
              <w:rPr>
                <w:rFonts w:ascii="Calibri" w:eastAsia="Times New Roman" w:hAnsi="Calibri" w:cs="Calibri"/>
                <w:kern w:val="0"/>
                <w:lang w:eastAsia="en-GB"/>
                <w14:ligatures w14:val="none"/>
              </w:rPr>
              <w:t xml:space="preserve"> </w:t>
            </w:r>
            <w:r w:rsidR="007D7851" w:rsidRPr="00212EE8">
              <w:rPr>
                <w:rFonts w:ascii="Calibri" w:eastAsia="Times New Roman" w:hAnsi="Calibri" w:cs="Calibri"/>
                <w:kern w:val="0"/>
                <w:lang w:eastAsia="en-GB"/>
                <w14:ligatures w14:val="none"/>
              </w:rPr>
              <w:t>(Section 6.2</w:t>
            </w:r>
            <w:r w:rsidRPr="00212EE8">
              <w:rPr>
                <w:rFonts w:ascii="Calibri" w:eastAsia="Times New Roman" w:hAnsi="Calibri" w:cs="Calibri"/>
                <w:kern w:val="0"/>
                <w:lang w:eastAsia="en-GB"/>
                <w14:ligatures w14:val="none"/>
              </w:rPr>
              <w:t>: Supervisory strategy and policy</w:t>
            </w:r>
            <w:r w:rsidR="007D7851" w:rsidRPr="00212EE8">
              <w:rPr>
                <w:rFonts w:ascii="Calibri" w:eastAsia="Times New Roman" w:hAnsi="Calibri" w:cs="Calibri"/>
                <w:kern w:val="0"/>
                <w:lang w:eastAsia="en-GB"/>
                <w14:ligatures w14:val="none"/>
              </w:rPr>
              <w:t>)</w:t>
            </w:r>
            <w:r w:rsidR="003B5F65">
              <w:rPr>
                <w:rFonts w:ascii="Calibri" w:eastAsia="Times New Roman" w:hAnsi="Calibri" w:cs="Calibri"/>
                <w:kern w:val="0"/>
                <w:lang w:eastAsia="en-GB"/>
                <w14:ligatures w14:val="none"/>
              </w:rPr>
              <w:t>; and</w:t>
            </w:r>
          </w:p>
          <w:p w14:paraId="02DA5710" w14:textId="2CF2383F" w:rsidR="007E4153" w:rsidRPr="00CF2E7C" w:rsidRDefault="009734FC" w:rsidP="003B5F65">
            <w:pPr>
              <w:pStyle w:val="ListParagraph"/>
              <w:numPr>
                <w:ilvl w:val="0"/>
                <w:numId w:val="55"/>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be shared internationally with the Bank’s peers, helping to advance global knowledge of the risks posed to the global financial system by climate change (Section 1: Executive Summary).</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4BABE75D" w:rsidR="00F26296" w:rsidRPr="00CF2E7C" w:rsidRDefault="001848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18844375" w:rsidR="00F26296" w:rsidRPr="00CF2E7C" w:rsidRDefault="001848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4" w:name="_Section_5.3:_Capital"/>
      <w:bookmarkStart w:id="55" w:name="_Toc198223636"/>
      <w:bookmarkEnd w:id="54"/>
      <w:r>
        <w:t>Section 5.</w:t>
      </w:r>
      <w:r w:rsidR="00455E1B">
        <w:t>2.</w:t>
      </w:r>
      <w:r>
        <w:t xml:space="preserve">3: </w:t>
      </w:r>
      <w:r w:rsidRPr="009C4D10">
        <w:t>Capital and Liquidity Requirements</w:t>
      </w:r>
      <w:bookmarkEnd w:id="55"/>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6" w:name="_5.3.3_Capital_and"/>
            <w:bookmarkEnd w:id="56"/>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21309FB9" w:rsidR="00F26296" w:rsidRPr="00CF2E7C" w:rsidRDefault="00454B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3BE9063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3B5F6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6BADE2A8" w14:textId="616C5020" w:rsidR="00F26296" w:rsidRPr="00CF2E7C" w:rsidRDefault="00454B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3159C9B8" w14:textId="77777777" w:rsidTr="003B5F6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3353CFDB" w14:textId="134AC640" w:rsidR="00F26296" w:rsidRPr="00CF2E7C" w:rsidRDefault="00454B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13FE07B"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3B5F6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71E7E87" w14:textId="1B93AAB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3B5F6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055121B" w14:textId="36A44AEF" w:rsidR="00B114FD" w:rsidRPr="00CF2E7C" w:rsidRDefault="00454B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6016A1" w:rsidRPr="00CF2E7C" w14:paraId="0EDD39EB" w14:textId="77777777" w:rsidTr="006016A1">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6016A1" w:rsidRPr="00CF2E7C" w:rsidRDefault="006016A1" w:rsidP="006016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DE7560E" w14:textId="500B1CA9" w:rsidR="006016A1" w:rsidRPr="00CF2E7C" w:rsidRDefault="006016A1" w:rsidP="006016A1">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3B5F6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66CFB58D" w14:textId="57DB89D1" w:rsidR="00B114FD" w:rsidRPr="00CF2E7C" w:rsidRDefault="00454B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249FEE5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2687B828"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7" w:name="_Toc198223637"/>
      <w:r>
        <w:t xml:space="preserve">Section 5.3: </w:t>
      </w:r>
      <w:r w:rsidR="009E1E61">
        <w:t>Standards and Frameworks</w:t>
      </w:r>
      <w:bookmarkEnd w:id="5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58"/>
        <w:gridCol w:w="4270"/>
        <w:gridCol w:w="2204"/>
        <w:gridCol w:w="1620"/>
        <w:gridCol w:w="1698"/>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0AD7CC3" w:rsidR="00702413" w:rsidRPr="009C4D10" w:rsidRDefault="00AC285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E4A6CE7" w14:textId="58A98D51" w:rsidR="008C466D" w:rsidRPr="009408B9" w:rsidRDefault="009408B9" w:rsidP="009408B9">
            <w:pPr>
              <w:textAlignment w:val="baseline"/>
              <w:rPr>
                <w:lang w:eastAsia="en-GB"/>
              </w:rPr>
            </w:pPr>
            <w:r w:rsidRPr="009408B9">
              <w:rPr>
                <w:rFonts w:eastAsia="Times New Roman" w:cstheme="minorHAnsi"/>
                <w:kern w:val="0"/>
                <w:lang w:eastAsia="en-GB"/>
                <w14:ligatures w14:val="none"/>
              </w:rPr>
              <w:t xml:space="preserve">One barrier identified in acting on the findings of the CBES was a lack of data (Section 1: Executive Summary, Key Lessons and next Steps).  For example, </w:t>
            </w:r>
            <w:r w:rsidRPr="009408B9">
              <w:rPr>
                <w:lang w:eastAsia="en-GB"/>
              </w:rPr>
              <w:t>Banks had to extrapolate or make assumptions for exposure where data was missing (Section 3.2: Banks).</w:t>
            </w:r>
          </w:p>
          <w:p w14:paraId="718D87F5" w14:textId="2C0F59D6" w:rsidR="00702413" w:rsidRPr="009408B9" w:rsidRDefault="008C466D" w:rsidP="009408B9">
            <w:pPr>
              <w:pStyle w:val="ListBullet"/>
              <w:numPr>
                <w:ilvl w:val="0"/>
                <w:numId w:val="0"/>
              </w:numPr>
              <w:rPr>
                <w:lang w:eastAsia="en-GB"/>
              </w:rPr>
            </w:pPr>
            <w:r w:rsidRPr="009408B9">
              <w:rPr>
                <w:lang w:eastAsia="en-GB"/>
              </w:rPr>
              <w:t xml:space="preserve">Another key barrier </w:t>
            </w:r>
            <w:r w:rsidR="009408B9" w:rsidRPr="009408B9">
              <w:rPr>
                <w:lang w:eastAsia="en-GB"/>
              </w:rPr>
              <w:t>identified was</w:t>
            </w:r>
            <w:r w:rsidRPr="009408B9">
              <w:rPr>
                <w:lang w:eastAsia="en-GB"/>
              </w:rPr>
              <w:t xml:space="preserve"> the cost of implementing </w:t>
            </w:r>
            <w:r w:rsidR="009408B9" w:rsidRPr="009408B9">
              <w:rPr>
                <w:lang w:eastAsia="en-GB"/>
              </w:rPr>
              <w:t>of implementing</w:t>
            </w:r>
            <w:r w:rsidR="00D7165D" w:rsidRPr="009408B9">
              <w:rPr>
                <w:lang w:eastAsia="en-GB"/>
              </w:rPr>
              <w:t xml:space="preserve"> transition plans </w:t>
            </w:r>
            <w:r w:rsidR="009408B9" w:rsidRPr="009408B9">
              <w:rPr>
                <w:lang w:eastAsia="en-GB"/>
              </w:rPr>
              <w:t>for</w:t>
            </w:r>
            <w:r w:rsidR="00D7165D" w:rsidRPr="009408B9">
              <w:rPr>
                <w:lang w:eastAsia="en-GB"/>
              </w:rPr>
              <w:t xml:space="preserve"> banks and insurers</w:t>
            </w:r>
            <w:r w:rsidR="009408B9" w:rsidRPr="009408B9">
              <w:rPr>
                <w:lang w:eastAsia="en-GB"/>
              </w:rPr>
              <w:t>, including the cost to the banks and insurers themselves, as well as the costs to the wider economy (Section 4.1: Impact on Banks; Section 4.2: Impact on Insurers).</w:t>
            </w:r>
            <w:r w:rsidR="001F53C8" w:rsidRPr="009408B9">
              <w:rPr>
                <w:rFonts w:eastAsia="Times New Roman" w:cstheme="minorHAnsi"/>
                <w:kern w:val="0"/>
                <w:lang w:eastAsia="en-GB"/>
                <w14:ligatures w14:val="none"/>
              </w:rPr>
              <w:t xml:space="preserve"> </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2BAF78E9" w:rsidR="00FE0EA5" w:rsidRPr="009C4D10" w:rsidRDefault="003B5F65"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36490AB" w:rsidR="00FE0EA5" w:rsidRPr="009C4D10" w:rsidRDefault="00FE0EA5" w:rsidP="00CF2E7C">
            <w:pPr>
              <w:rPr>
                <w:rFonts w:cstheme="minorHAnsi"/>
              </w:rPr>
            </w:pP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5384967C" w:rsidR="00FE0EA5" w:rsidRPr="009C4D10" w:rsidRDefault="003B5F65"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ACE317C" w:rsidR="00FE0EA5" w:rsidRPr="009C4D10" w:rsidRDefault="00FE0EA5" w:rsidP="00CF2E7C">
            <w:pPr>
              <w:rPr>
                <w:rFonts w:cstheme="minorHAnsi"/>
              </w:rPr>
            </w:pP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E5A633B" w:rsidR="00FE0EA5" w:rsidRPr="009C4D10" w:rsidRDefault="00FE0EA5" w:rsidP="00CF2E7C">
            <w:pPr>
              <w:rPr>
                <w:rFonts w:cstheme="minorHAnsi"/>
              </w:rPr>
            </w:pP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06CAC"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4EE147F" w:rsidR="00FE0EA5" w:rsidRPr="009C4D10" w:rsidRDefault="003B5F65" w:rsidP="00CF2E7C">
            <w:pPr>
              <w:rPr>
                <w:rFonts w:cstheme="minorHAnsi"/>
              </w:rPr>
            </w:pPr>
            <w:r>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06CAC"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3FC82002" w:rsidR="00FE0EA5" w:rsidRPr="009C4D10" w:rsidRDefault="003B5F65"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CA3854A" w:rsidR="00FE0EA5" w:rsidRPr="009C4D10" w:rsidRDefault="00FE0EA5" w:rsidP="00CF2E7C">
            <w:pPr>
              <w:rPr>
                <w:rFonts w:cstheme="minorHAnsi"/>
              </w:rPr>
            </w:pP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24E6F494" w:rsidR="00FE0EA5" w:rsidRPr="009C4D10" w:rsidRDefault="003B5F65"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9ECC574" w:rsidR="00FE0EA5" w:rsidRPr="009C4D10" w:rsidRDefault="00FE0EA5" w:rsidP="00CF2E7C">
            <w:pPr>
              <w:rPr>
                <w:rFonts w:cstheme="minorHAnsi"/>
              </w:rPr>
            </w:pP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9541EBD" w:rsidR="00FE0EA5" w:rsidRPr="009C4D10" w:rsidRDefault="003B5F65"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0C7B5C76" w:rsidR="00FE0EA5" w:rsidRPr="009C4D10" w:rsidRDefault="00FE0EA5" w:rsidP="00CF2E7C">
            <w:pPr>
              <w:rPr>
                <w:rFonts w:cstheme="minorHAnsi"/>
              </w:rPr>
            </w:pP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D782F4C" w14:textId="0F598A1F" w:rsidR="008E4765" w:rsidRDefault="00AF4F16" w:rsidP="00CF2E7C">
            <w:pPr>
              <w:rPr>
                <w:rFonts w:cstheme="minorHAnsi"/>
              </w:rPr>
            </w:pPr>
            <w:r>
              <w:rPr>
                <w:rFonts w:cstheme="minorHAnsi"/>
              </w:rPr>
              <w:t>International Sustain</w:t>
            </w:r>
            <w:r w:rsidR="008E4765">
              <w:rPr>
                <w:rFonts w:cstheme="minorHAnsi"/>
              </w:rPr>
              <w:t xml:space="preserve">ability Standards Board: </w:t>
            </w:r>
          </w:p>
          <w:p w14:paraId="20AAE6A0" w14:textId="2C2EA59B" w:rsidR="00C01AF9" w:rsidRDefault="008E4765" w:rsidP="00CF2E7C">
            <w:pPr>
              <w:rPr>
                <w:rFonts w:cstheme="minorHAnsi"/>
              </w:rPr>
            </w:pPr>
            <w:r>
              <w:rPr>
                <w:rFonts w:cstheme="minorHAnsi"/>
              </w:rPr>
              <w:t xml:space="preserve"> </w:t>
            </w:r>
            <w:hyperlink r:id="rId26" w:history="1">
              <w:r w:rsidR="006016A1" w:rsidRPr="00831905">
                <w:rPr>
                  <w:rStyle w:val="Hyperlink"/>
                  <w:rFonts w:cstheme="minorHAnsi"/>
                </w:rPr>
                <w:t>https://web.archive.org/web/20240701/https://www.ifrs.org/groups/international-sustainability-standards-board/</w:t>
              </w:r>
            </w:hyperlink>
            <w:r w:rsidR="006016A1">
              <w:rPr>
                <w:rFonts w:cstheme="minorHAnsi"/>
              </w:rPr>
              <w:t xml:space="preserve"> </w:t>
            </w:r>
          </w:p>
          <w:p w14:paraId="651C1B6F" w14:textId="54E0329C" w:rsidR="008E4765" w:rsidRDefault="008E4765" w:rsidP="00CF2E7C">
            <w:pPr>
              <w:rPr>
                <w:rFonts w:cstheme="minorHAnsi"/>
              </w:rPr>
            </w:pPr>
            <w:r>
              <w:rPr>
                <w:rFonts w:cstheme="minorHAnsi"/>
              </w:rPr>
              <w:t>Climate Financial Risk Forum Guide 2020 Risk Management Chapter</w:t>
            </w:r>
            <w:r w:rsidR="006016A1">
              <w:rPr>
                <w:rFonts w:cstheme="minorHAnsi"/>
              </w:rPr>
              <w:t>:</w:t>
            </w:r>
          </w:p>
          <w:p w14:paraId="38D8579A" w14:textId="0BF73341" w:rsidR="00E039B4" w:rsidRPr="00E039B4" w:rsidRDefault="00706CAC" w:rsidP="00CF2E7C">
            <w:pPr>
              <w:rPr>
                <w:rFonts w:cstheme="minorHAnsi"/>
              </w:rPr>
            </w:pPr>
            <w:hyperlink r:id="rId27" w:history="1">
              <w:r w:rsidR="00E039B4" w:rsidRPr="00E039B4">
                <w:rPr>
                  <w:rStyle w:val="Hyperlink"/>
                  <w:rFonts w:cstheme="minorHAnsi"/>
                </w:rPr>
                <w:t>https://web.archive.org/web/20250116143154/https://www.fca.org.uk/publication/corporate/climate-financial-risk-forum-guide-2020-risk-management-chapter.pdf</w:t>
              </w:r>
            </w:hyperlink>
          </w:p>
          <w:p w14:paraId="5566DC6F" w14:textId="10E19330" w:rsidR="008E4765" w:rsidRPr="003E33FB" w:rsidRDefault="008E4765" w:rsidP="00CF2E7C">
            <w:pPr>
              <w:rPr>
                <w:rFonts w:cstheme="minorHAnsi"/>
              </w:rPr>
            </w:pPr>
            <w:r w:rsidRPr="003E33FB">
              <w:rPr>
                <w:rFonts w:cstheme="minorHAnsi"/>
              </w:rPr>
              <w:t>Greenhouse Gas Protocol:</w:t>
            </w:r>
          </w:p>
          <w:p w14:paraId="714850EC" w14:textId="33729789" w:rsidR="008E4765" w:rsidRDefault="00706CAC" w:rsidP="00CF2E7C">
            <w:pPr>
              <w:rPr>
                <w:rFonts w:cstheme="minorHAnsi"/>
              </w:rPr>
            </w:pPr>
            <w:hyperlink r:id="rId28" w:history="1">
              <w:r w:rsidR="001E2B4F" w:rsidRPr="00D43C63">
                <w:rPr>
                  <w:rStyle w:val="Hyperlink"/>
                  <w:rFonts w:cstheme="minorHAnsi"/>
                </w:rPr>
                <w:t>https://web.archive.org/web/20240701/https://ghgprotocol.org/</w:t>
              </w:r>
            </w:hyperlink>
            <w:r w:rsidR="008E4765">
              <w:rPr>
                <w:rFonts w:cstheme="minorHAnsi"/>
              </w:rPr>
              <w:t xml:space="preserve"> </w:t>
            </w:r>
          </w:p>
          <w:p w14:paraId="50BFD183" w14:textId="1E0C31D3" w:rsidR="001E2B4F" w:rsidRDefault="001E2B4F" w:rsidP="00CF2E7C">
            <w:pPr>
              <w:rPr>
                <w:rFonts w:cstheme="minorHAnsi"/>
              </w:rPr>
            </w:pPr>
            <w:r>
              <w:rPr>
                <w:rFonts w:cstheme="minorHAnsi"/>
              </w:rPr>
              <w:t xml:space="preserve">Energy Performance </w:t>
            </w:r>
            <w:r w:rsidR="006016A1">
              <w:rPr>
                <w:rFonts w:cstheme="minorHAnsi"/>
              </w:rPr>
              <w:t xml:space="preserve">Certificate: </w:t>
            </w:r>
            <w:r>
              <w:rPr>
                <w:rFonts w:cstheme="minorHAnsi"/>
              </w:rPr>
              <w:t xml:space="preserve"> </w:t>
            </w:r>
          </w:p>
          <w:p w14:paraId="39CA2CBB" w14:textId="012C0554" w:rsidR="00E039B4" w:rsidRDefault="00706CAC" w:rsidP="00CF2E7C">
            <w:pPr>
              <w:rPr>
                <w:rFonts w:cstheme="minorHAnsi"/>
              </w:rPr>
            </w:pPr>
            <w:hyperlink r:id="rId29" w:history="1">
              <w:r w:rsidR="00E039B4" w:rsidRPr="00D43C63">
                <w:rPr>
                  <w:rStyle w:val="Hyperlink"/>
                  <w:rFonts w:cstheme="minorHAnsi"/>
                </w:rPr>
                <w:t>https://web.archive.org/web/20210525141827/https://www.gov.uk/guidance/energy-performance-of-buildings-certificates-notes-and-definitions</w:t>
              </w:r>
            </w:hyperlink>
          </w:p>
          <w:p w14:paraId="7484C1D4" w14:textId="3C6FC3FF" w:rsidR="00E039B4" w:rsidRDefault="006016A1" w:rsidP="00CF2E7C">
            <w:pPr>
              <w:rPr>
                <w:rFonts w:cstheme="minorHAnsi"/>
              </w:rPr>
            </w:pPr>
            <w:r>
              <w:rPr>
                <w:rFonts w:cstheme="minorHAnsi"/>
              </w:rPr>
              <w:t xml:space="preserve">Supervisory Statement </w:t>
            </w:r>
            <w:r w:rsidR="00E039B4">
              <w:rPr>
                <w:rFonts w:cstheme="minorHAnsi"/>
              </w:rPr>
              <w:t>SS3/19</w:t>
            </w:r>
            <w:r>
              <w:rPr>
                <w:rFonts w:cstheme="minorHAnsi"/>
              </w:rPr>
              <w:t>:</w:t>
            </w:r>
            <w:r w:rsidR="00E039B4">
              <w:rPr>
                <w:rFonts w:cstheme="minorHAnsi"/>
              </w:rPr>
              <w:t xml:space="preserve"> </w:t>
            </w:r>
          </w:p>
          <w:p w14:paraId="5B4EDA01" w14:textId="2EEA0736" w:rsidR="001E2B4F" w:rsidRDefault="00706CAC" w:rsidP="00CF2E7C">
            <w:pPr>
              <w:rPr>
                <w:rFonts w:cstheme="minorHAnsi"/>
              </w:rPr>
            </w:pPr>
            <w:hyperlink r:id="rId30" w:history="1">
              <w:r w:rsidR="006016A1" w:rsidRPr="00831905">
                <w:rPr>
                  <w:rStyle w:val="Hyperlink"/>
                  <w:rFonts w:cstheme="minorHAnsi"/>
                </w:rPr>
                <w:t>https://web.archive.org/web/20250405151731/https://www.bankofengland.co.uk/-/media/boe/files/prudential-regulation/supervisory-statement/2019/ss319</w:t>
              </w:r>
            </w:hyperlink>
            <w:r w:rsidR="006016A1">
              <w:rPr>
                <w:rFonts w:cstheme="minorHAnsi"/>
              </w:rPr>
              <w:t xml:space="preserve"> </w:t>
            </w:r>
          </w:p>
          <w:p w14:paraId="70A411BB" w14:textId="77777777" w:rsidR="001E2B4F" w:rsidRDefault="001E2B4F" w:rsidP="00CF2E7C">
            <w:pPr>
              <w:rPr>
                <w:rFonts w:cstheme="minorHAnsi"/>
              </w:rPr>
            </w:pPr>
          </w:p>
          <w:p w14:paraId="7478C0BE" w14:textId="6B43611E" w:rsidR="008E4765" w:rsidRPr="009C4D10" w:rsidRDefault="008E4765"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8" w:name="_Toc198223638"/>
      <w:r>
        <w:t>Domain 6: Methane Abatement</w:t>
      </w:r>
      <w:bookmarkEnd w:id="58"/>
    </w:p>
    <w:p w14:paraId="144EDD37" w14:textId="77777777" w:rsidR="002F0752" w:rsidRDefault="002F0752" w:rsidP="002F0752">
      <w:pPr>
        <w:pStyle w:val="Heading2"/>
        <w:rPr>
          <w:rFonts w:ascii="Calibri" w:eastAsia="Calibri" w:hAnsi="Calibri" w:cs="Calibri"/>
          <w:color w:val="000000" w:themeColor="text1"/>
        </w:rPr>
      </w:pPr>
      <w:bookmarkStart w:id="59" w:name="_Toc198223639"/>
      <w:r>
        <w:t>Section 6.1: Who is being targeted?</w:t>
      </w:r>
      <w:bookmarkEnd w:id="59"/>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B5F6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497D52" w:rsidRDefault="002F0752" w:rsidP="00CF2E7C">
            <w:pPr>
              <w:rPr>
                <w:rFonts w:ascii="Calibri" w:hAnsi="Calibri" w:cs="Calibri"/>
                <w:lang w:val="fr-FR"/>
              </w:rPr>
            </w:pPr>
            <w:r w:rsidRPr="00497D52">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497D52"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60" w:name="_Toc198223640"/>
      <w:r>
        <w:rPr>
          <w:rFonts w:eastAsia="Arial"/>
        </w:rPr>
        <w:t xml:space="preserve">Section 6.2: </w:t>
      </w:r>
      <w:r w:rsidRPr="26567C6B">
        <w:rPr>
          <w:rFonts w:eastAsia="Arial"/>
        </w:rPr>
        <w:t>National targets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61" w:name="_Toc198223641"/>
      <w:r>
        <w:rPr>
          <w:rFonts w:eastAsia="Arial"/>
        </w:rPr>
        <w:t>Section 6.3: Methane Pricing</w:t>
      </w:r>
      <w:bookmarkEnd w:id="61"/>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62" w:name="_Toc198223642"/>
      <w:r>
        <w:rPr>
          <w:rFonts w:eastAsia="Arial"/>
        </w:rPr>
        <w:t xml:space="preserve">Section 6.4: </w:t>
      </w:r>
      <w:r w:rsidRPr="26567C6B">
        <w:rPr>
          <w:rFonts w:eastAsia="Arial"/>
        </w:rPr>
        <w:t>Source-specific rules</w:t>
      </w:r>
      <w:bookmarkEnd w:id="62"/>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3" w:name="_Toc198223643"/>
      <w:r>
        <w:rPr>
          <w:rFonts w:eastAsia="Arial"/>
        </w:rPr>
        <w:t xml:space="preserve">6.4.1 </w:t>
      </w:r>
      <w:r w:rsidRPr="26567C6B">
        <w:rPr>
          <w:rFonts w:eastAsia="Arial"/>
        </w:rPr>
        <w:t>Oil and Gas-Related Methane Emissions</w:t>
      </w:r>
      <w:bookmarkEnd w:id="63"/>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4" w:name="_Toc198223644"/>
      <w:r>
        <w:rPr>
          <w:rFonts w:eastAsia="Arial"/>
        </w:rPr>
        <w:t>6.</w:t>
      </w:r>
      <w:r w:rsidRPr="26567C6B">
        <w:rPr>
          <w:rFonts w:eastAsia="Arial"/>
        </w:rPr>
        <w:t>4.2 Coal-Related Methane Emissions</w:t>
      </w:r>
      <w:bookmarkEnd w:id="64"/>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5" w:name="_Toc198223645"/>
      <w:r>
        <w:rPr>
          <w:rFonts w:eastAsia="Arial"/>
        </w:rPr>
        <w:t>6.</w:t>
      </w:r>
      <w:r w:rsidRPr="26567C6B">
        <w:rPr>
          <w:rFonts w:eastAsia="Arial"/>
        </w:rPr>
        <w:t>4.3 Agriculture-Related Methane Emissions</w:t>
      </w:r>
      <w:bookmarkEnd w:id="65"/>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631">
      <wne:acd wne:acdName="acd0"/>
    </wne:keymap>
  </wne:keymaps>
  <wne:toolbars>
    <wne:acdManifest>
      <wne:acdEntry wne:acdName="acd0"/>
    </wne:acdManifest>
  </wne:toolbars>
  <wne:acds>
    <wne:acd wne:argValue="AQAAADAA" wne:acdName="acd0"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333A6A" w14:textId="77777777" w:rsidR="00AF73BD" w:rsidRDefault="00AF73BD" w:rsidP="00874E39">
      <w:r>
        <w:separator/>
      </w:r>
    </w:p>
  </w:endnote>
  <w:endnote w:type="continuationSeparator" w:id="0">
    <w:p w14:paraId="3929CD44" w14:textId="77777777" w:rsidR="00AF73BD" w:rsidRDefault="00AF73BD" w:rsidP="00874E39">
      <w:r>
        <w:continuationSeparator/>
      </w:r>
    </w:p>
  </w:endnote>
  <w:endnote w:type="continuationNotice" w:id="1">
    <w:p w14:paraId="0D38D36A" w14:textId="77777777" w:rsidR="00AF73BD" w:rsidRDefault="00AF73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05FDF948" w:rsidR="00874E39" w:rsidRDefault="00874E39" w:rsidP="00706CA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03E9D494"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3C8CF0C8"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A1D205" w14:textId="77777777" w:rsidR="00AF73BD" w:rsidRDefault="00AF73BD" w:rsidP="00874E39">
      <w:r>
        <w:separator/>
      </w:r>
    </w:p>
  </w:footnote>
  <w:footnote w:type="continuationSeparator" w:id="0">
    <w:p w14:paraId="5406F426" w14:textId="77777777" w:rsidR="00AF73BD" w:rsidRDefault="00AF73BD" w:rsidP="00874E39">
      <w:r>
        <w:continuationSeparator/>
      </w:r>
    </w:p>
  </w:footnote>
  <w:footnote w:type="continuationNotice" w:id="1">
    <w:p w14:paraId="5D22B050" w14:textId="77777777" w:rsidR="00AF73BD" w:rsidRDefault="00AF73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D2C19" w14:textId="77777777" w:rsidR="00135BBE" w:rsidRDefault="00135B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59F7E" w14:textId="77777777" w:rsidR="00135BBE" w:rsidRDefault="00135BB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70E9984"/>
    <w:name w:val="List Bullet"/>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7FE1B76"/>
    <w:multiLevelType w:val="hybridMultilevel"/>
    <w:tmpl w:val="8CB8056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A683FDD"/>
    <w:multiLevelType w:val="hybridMultilevel"/>
    <w:tmpl w:val="8A7E9D9A"/>
    <w:lvl w:ilvl="0" w:tplc="B4825F5E">
      <w:start w:val="1"/>
      <w:numFmt w:val="bullet"/>
      <w:lvlText w:val=""/>
      <w:lvlJc w:val="left"/>
      <w:pPr>
        <w:ind w:left="1080" w:hanging="360"/>
      </w:pPr>
      <w:rPr>
        <w:rFonts w:ascii="Symbol" w:hAnsi="Symbol"/>
      </w:rPr>
    </w:lvl>
    <w:lvl w:ilvl="1" w:tplc="27E87102">
      <w:start w:val="1"/>
      <w:numFmt w:val="bullet"/>
      <w:lvlText w:val=""/>
      <w:lvlJc w:val="left"/>
      <w:pPr>
        <w:ind w:left="1080" w:hanging="360"/>
      </w:pPr>
      <w:rPr>
        <w:rFonts w:ascii="Symbol" w:hAnsi="Symbol"/>
      </w:rPr>
    </w:lvl>
    <w:lvl w:ilvl="2" w:tplc="E1A89426">
      <w:start w:val="1"/>
      <w:numFmt w:val="bullet"/>
      <w:lvlText w:val=""/>
      <w:lvlJc w:val="left"/>
      <w:pPr>
        <w:ind w:left="1080" w:hanging="360"/>
      </w:pPr>
      <w:rPr>
        <w:rFonts w:ascii="Symbol" w:hAnsi="Symbol"/>
      </w:rPr>
    </w:lvl>
    <w:lvl w:ilvl="3" w:tplc="19760CA6">
      <w:start w:val="1"/>
      <w:numFmt w:val="bullet"/>
      <w:lvlText w:val=""/>
      <w:lvlJc w:val="left"/>
      <w:pPr>
        <w:ind w:left="1080" w:hanging="360"/>
      </w:pPr>
      <w:rPr>
        <w:rFonts w:ascii="Symbol" w:hAnsi="Symbol"/>
      </w:rPr>
    </w:lvl>
    <w:lvl w:ilvl="4" w:tplc="9D625B58">
      <w:start w:val="1"/>
      <w:numFmt w:val="bullet"/>
      <w:lvlText w:val=""/>
      <w:lvlJc w:val="left"/>
      <w:pPr>
        <w:ind w:left="1080" w:hanging="360"/>
      </w:pPr>
      <w:rPr>
        <w:rFonts w:ascii="Symbol" w:hAnsi="Symbol"/>
      </w:rPr>
    </w:lvl>
    <w:lvl w:ilvl="5" w:tplc="D28E2348">
      <w:start w:val="1"/>
      <w:numFmt w:val="bullet"/>
      <w:lvlText w:val=""/>
      <w:lvlJc w:val="left"/>
      <w:pPr>
        <w:ind w:left="1080" w:hanging="360"/>
      </w:pPr>
      <w:rPr>
        <w:rFonts w:ascii="Symbol" w:hAnsi="Symbol"/>
      </w:rPr>
    </w:lvl>
    <w:lvl w:ilvl="6" w:tplc="F40AE3EC">
      <w:start w:val="1"/>
      <w:numFmt w:val="bullet"/>
      <w:lvlText w:val=""/>
      <w:lvlJc w:val="left"/>
      <w:pPr>
        <w:ind w:left="1080" w:hanging="360"/>
      </w:pPr>
      <w:rPr>
        <w:rFonts w:ascii="Symbol" w:hAnsi="Symbol"/>
      </w:rPr>
    </w:lvl>
    <w:lvl w:ilvl="7" w:tplc="7EB8002A">
      <w:start w:val="1"/>
      <w:numFmt w:val="bullet"/>
      <w:lvlText w:val=""/>
      <w:lvlJc w:val="left"/>
      <w:pPr>
        <w:ind w:left="1080" w:hanging="360"/>
      </w:pPr>
      <w:rPr>
        <w:rFonts w:ascii="Symbol" w:hAnsi="Symbol"/>
      </w:rPr>
    </w:lvl>
    <w:lvl w:ilvl="8" w:tplc="9E54992E">
      <w:start w:val="1"/>
      <w:numFmt w:val="bullet"/>
      <w:lvlText w:val=""/>
      <w:lvlJc w:val="left"/>
      <w:pPr>
        <w:ind w:left="1080" w:hanging="360"/>
      </w:pPr>
      <w:rPr>
        <w:rFonts w:ascii="Symbol" w:hAnsi="Symbol"/>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3AB6F71"/>
    <w:multiLevelType w:val="hybridMultilevel"/>
    <w:tmpl w:val="117E8546"/>
    <w:lvl w:ilvl="0" w:tplc="50BE0D4C">
      <w:start w:val="1"/>
      <w:numFmt w:val="bullet"/>
      <w:lvlText w:val=""/>
      <w:lvlJc w:val="left"/>
      <w:pPr>
        <w:ind w:left="1080" w:hanging="360"/>
      </w:pPr>
      <w:rPr>
        <w:rFonts w:ascii="Symbol" w:hAnsi="Symbol"/>
      </w:rPr>
    </w:lvl>
    <w:lvl w:ilvl="1" w:tplc="975E74AC">
      <w:start w:val="1"/>
      <w:numFmt w:val="bullet"/>
      <w:lvlText w:val=""/>
      <w:lvlJc w:val="left"/>
      <w:pPr>
        <w:ind w:left="1080" w:hanging="360"/>
      </w:pPr>
      <w:rPr>
        <w:rFonts w:ascii="Symbol" w:hAnsi="Symbol"/>
      </w:rPr>
    </w:lvl>
    <w:lvl w:ilvl="2" w:tplc="563CAEAE">
      <w:start w:val="1"/>
      <w:numFmt w:val="bullet"/>
      <w:lvlText w:val=""/>
      <w:lvlJc w:val="left"/>
      <w:pPr>
        <w:ind w:left="1080" w:hanging="360"/>
      </w:pPr>
      <w:rPr>
        <w:rFonts w:ascii="Symbol" w:hAnsi="Symbol"/>
      </w:rPr>
    </w:lvl>
    <w:lvl w:ilvl="3" w:tplc="EF5C4D2A">
      <w:start w:val="1"/>
      <w:numFmt w:val="bullet"/>
      <w:lvlText w:val=""/>
      <w:lvlJc w:val="left"/>
      <w:pPr>
        <w:ind w:left="1080" w:hanging="360"/>
      </w:pPr>
      <w:rPr>
        <w:rFonts w:ascii="Symbol" w:hAnsi="Symbol"/>
      </w:rPr>
    </w:lvl>
    <w:lvl w:ilvl="4" w:tplc="C762B392">
      <w:start w:val="1"/>
      <w:numFmt w:val="bullet"/>
      <w:lvlText w:val=""/>
      <w:lvlJc w:val="left"/>
      <w:pPr>
        <w:ind w:left="1080" w:hanging="360"/>
      </w:pPr>
      <w:rPr>
        <w:rFonts w:ascii="Symbol" w:hAnsi="Symbol"/>
      </w:rPr>
    </w:lvl>
    <w:lvl w:ilvl="5" w:tplc="71125398">
      <w:start w:val="1"/>
      <w:numFmt w:val="bullet"/>
      <w:lvlText w:val=""/>
      <w:lvlJc w:val="left"/>
      <w:pPr>
        <w:ind w:left="1080" w:hanging="360"/>
      </w:pPr>
      <w:rPr>
        <w:rFonts w:ascii="Symbol" w:hAnsi="Symbol"/>
      </w:rPr>
    </w:lvl>
    <w:lvl w:ilvl="6" w:tplc="6262BAEC">
      <w:start w:val="1"/>
      <w:numFmt w:val="bullet"/>
      <w:lvlText w:val=""/>
      <w:lvlJc w:val="left"/>
      <w:pPr>
        <w:ind w:left="1080" w:hanging="360"/>
      </w:pPr>
      <w:rPr>
        <w:rFonts w:ascii="Symbol" w:hAnsi="Symbol"/>
      </w:rPr>
    </w:lvl>
    <w:lvl w:ilvl="7" w:tplc="96E683DE">
      <w:start w:val="1"/>
      <w:numFmt w:val="bullet"/>
      <w:lvlText w:val=""/>
      <w:lvlJc w:val="left"/>
      <w:pPr>
        <w:ind w:left="1080" w:hanging="360"/>
      </w:pPr>
      <w:rPr>
        <w:rFonts w:ascii="Symbol" w:hAnsi="Symbol"/>
      </w:rPr>
    </w:lvl>
    <w:lvl w:ilvl="8" w:tplc="73807E20">
      <w:start w:val="1"/>
      <w:numFmt w:val="bullet"/>
      <w:lvlText w:val=""/>
      <w:lvlJc w:val="left"/>
      <w:pPr>
        <w:ind w:left="1080" w:hanging="360"/>
      </w:pPr>
      <w:rPr>
        <w:rFonts w:ascii="Symbol" w:hAnsi="Symbol"/>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8AE7D26"/>
    <w:multiLevelType w:val="hybridMultilevel"/>
    <w:tmpl w:val="FD3A569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A314B72"/>
    <w:multiLevelType w:val="hybridMultilevel"/>
    <w:tmpl w:val="A5787F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4" w15:restartNumberingAfterBreak="0">
    <w:nsid w:val="78E410B5"/>
    <w:multiLevelType w:val="hybridMultilevel"/>
    <w:tmpl w:val="4E66F67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80666882">
    <w:abstractNumId w:val="19"/>
  </w:num>
  <w:num w:numId="2" w16cid:durableId="482308869">
    <w:abstractNumId w:val="27"/>
  </w:num>
  <w:num w:numId="3" w16cid:durableId="690952733">
    <w:abstractNumId w:val="47"/>
  </w:num>
  <w:num w:numId="4" w16cid:durableId="1689330127">
    <w:abstractNumId w:val="2"/>
  </w:num>
  <w:num w:numId="5" w16cid:durableId="401291788">
    <w:abstractNumId w:val="33"/>
  </w:num>
  <w:num w:numId="6" w16cid:durableId="1276788690">
    <w:abstractNumId w:val="16"/>
  </w:num>
  <w:num w:numId="7" w16cid:durableId="566767730">
    <w:abstractNumId w:val="24"/>
  </w:num>
  <w:num w:numId="8" w16cid:durableId="1780710843">
    <w:abstractNumId w:val="39"/>
  </w:num>
  <w:num w:numId="9" w16cid:durableId="1685783054">
    <w:abstractNumId w:val="4"/>
  </w:num>
  <w:num w:numId="10" w16cid:durableId="950551298">
    <w:abstractNumId w:val="36"/>
  </w:num>
  <w:num w:numId="11" w16cid:durableId="1591960799">
    <w:abstractNumId w:val="53"/>
  </w:num>
  <w:num w:numId="12" w16cid:durableId="1344891410">
    <w:abstractNumId w:val="12"/>
  </w:num>
  <w:num w:numId="13" w16cid:durableId="2023899324">
    <w:abstractNumId w:val="14"/>
  </w:num>
  <w:num w:numId="14" w16cid:durableId="430587014">
    <w:abstractNumId w:val="8"/>
  </w:num>
  <w:num w:numId="15" w16cid:durableId="1742869061">
    <w:abstractNumId w:val="35"/>
  </w:num>
  <w:num w:numId="16" w16cid:durableId="1996450437">
    <w:abstractNumId w:val="23"/>
  </w:num>
  <w:num w:numId="17" w16cid:durableId="1529031027">
    <w:abstractNumId w:val="9"/>
  </w:num>
  <w:num w:numId="18" w16cid:durableId="568614617">
    <w:abstractNumId w:val="21"/>
  </w:num>
  <w:num w:numId="19" w16cid:durableId="1530605858">
    <w:abstractNumId w:val="48"/>
  </w:num>
  <w:num w:numId="20" w16cid:durableId="1328172586">
    <w:abstractNumId w:val="18"/>
  </w:num>
  <w:num w:numId="21" w16cid:durableId="184827816">
    <w:abstractNumId w:val="31"/>
  </w:num>
  <w:num w:numId="22" w16cid:durableId="1785346599">
    <w:abstractNumId w:val="38"/>
  </w:num>
  <w:num w:numId="23" w16cid:durableId="1294288901">
    <w:abstractNumId w:val="30"/>
  </w:num>
  <w:num w:numId="24" w16cid:durableId="1603957975">
    <w:abstractNumId w:val="50"/>
  </w:num>
  <w:num w:numId="25" w16cid:durableId="1659531047">
    <w:abstractNumId w:val="49"/>
  </w:num>
  <w:num w:numId="26" w16cid:durableId="752774403">
    <w:abstractNumId w:val="26"/>
  </w:num>
  <w:num w:numId="27" w16cid:durableId="347872198">
    <w:abstractNumId w:val="7"/>
  </w:num>
  <w:num w:numId="28" w16cid:durableId="537133110">
    <w:abstractNumId w:val="15"/>
  </w:num>
  <w:num w:numId="29" w16cid:durableId="1632318729">
    <w:abstractNumId w:val="51"/>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3"/>
  </w:num>
  <w:num w:numId="36" w16cid:durableId="1952588250">
    <w:abstractNumId w:val="42"/>
  </w:num>
  <w:num w:numId="37" w16cid:durableId="1712027211">
    <w:abstractNumId w:val="5"/>
  </w:num>
  <w:num w:numId="38" w16cid:durableId="2033795929">
    <w:abstractNumId w:val="3"/>
  </w:num>
  <w:num w:numId="39" w16cid:durableId="1238595582">
    <w:abstractNumId w:val="28"/>
  </w:num>
  <w:num w:numId="40" w16cid:durableId="416558262">
    <w:abstractNumId w:val="25"/>
  </w:num>
  <w:num w:numId="41" w16cid:durableId="1543715517">
    <w:abstractNumId w:val="22"/>
  </w:num>
  <w:num w:numId="42" w16cid:durableId="452208391">
    <w:abstractNumId w:val="17"/>
  </w:num>
  <w:num w:numId="43" w16cid:durableId="260340070">
    <w:abstractNumId w:val="1"/>
  </w:num>
  <w:num w:numId="44" w16cid:durableId="1639914969">
    <w:abstractNumId w:val="6"/>
  </w:num>
  <w:num w:numId="45" w16cid:durableId="1554191892">
    <w:abstractNumId w:val="46"/>
  </w:num>
  <w:num w:numId="46" w16cid:durableId="947811845">
    <w:abstractNumId w:val="52"/>
  </w:num>
  <w:num w:numId="47" w16cid:durableId="342588554">
    <w:abstractNumId w:val="29"/>
  </w:num>
  <w:num w:numId="48" w16cid:durableId="318391343">
    <w:abstractNumId w:val="41"/>
  </w:num>
  <w:num w:numId="49" w16cid:durableId="1475566408">
    <w:abstractNumId w:val="0"/>
  </w:num>
  <w:num w:numId="50" w16cid:durableId="254019785">
    <w:abstractNumId w:val="11"/>
  </w:num>
  <w:num w:numId="51" w16cid:durableId="237789646">
    <w:abstractNumId w:val="20"/>
  </w:num>
  <w:num w:numId="52" w16cid:durableId="18820271">
    <w:abstractNumId w:val="32"/>
  </w:num>
  <w:num w:numId="53" w16cid:durableId="1638027771">
    <w:abstractNumId w:val="10"/>
  </w:num>
  <w:num w:numId="54" w16cid:durableId="615408232">
    <w:abstractNumId w:val="54"/>
  </w:num>
  <w:num w:numId="55" w16cid:durableId="1511485836">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9D5"/>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C4A"/>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4AF"/>
    <w:rsid w:val="0006490B"/>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994"/>
    <w:rsid w:val="000844F5"/>
    <w:rsid w:val="00084827"/>
    <w:rsid w:val="00084B66"/>
    <w:rsid w:val="0008541F"/>
    <w:rsid w:val="00085672"/>
    <w:rsid w:val="00086142"/>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CA1"/>
    <w:rsid w:val="000C52F1"/>
    <w:rsid w:val="000D0592"/>
    <w:rsid w:val="000D1226"/>
    <w:rsid w:val="000D213B"/>
    <w:rsid w:val="000D223D"/>
    <w:rsid w:val="000D5049"/>
    <w:rsid w:val="000D7158"/>
    <w:rsid w:val="000D727C"/>
    <w:rsid w:val="000D7472"/>
    <w:rsid w:val="000E0220"/>
    <w:rsid w:val="000E0404"/>
    <w:rsid w:val="000E0CE5"/>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2C6"/>
    <w:rsid w:val="00124C48"/>
    <w:rsid w:val="00127191"/>
    <w:rsid w:val="00134550"/>
    <w:rsid w:val="00134681"/>
    <w:rsid w:val="00135BBE"/>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639"/>
    <w:rsid w:val="00182288"/>
    <w:rsid w:val="00182646"/>
    <w:rsid w:val="00183170"/>
    <w:rsid w:val="00184592"/>
    <w:rsid w:val="00184609"/>
    <w:rsid w:val="00184816"/>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500"/>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B4F"/>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3C8"/>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EE8"/>
    <w:rsid w:val="0021535C"/>
    <w:rsid w:val="0021729E"/>
    <w:rsid w:val="00217855"/>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1B9"/>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CDD"/>
    <w:rsid w:val="00284ADD"/>
    <w:rsid w:val="00285DA7"/>
    <w:rsid w:val="00286683"/>
    <w:rsid w:val="00286FE0"/>
    <w:rsid w:val="002878A1"/>
    <w:rsid w:val="002912CD"/>
    <w:rsid w:val="00291D86"/>
    <w:rsid w:val="00292736"/>
    <w:rsid w:val="00295770"/>
    <w:rsid w:val="00295DDD"/>
    <w:rsid w:val="00296362"/>
    <w:rsid w:val="002968A6"/>
    <w:rsid w:val="00296D90"/>
    <w:rsid w:val="0029703E"/>
    <w:rsid w:val="002A0239"/>
    <w:rsid w:val="002A1860"/>
    <w:rsid w:val="002A1997"/>
    <w:rsid w:val="002A1CA9"/>
    <w:rsid w:val="002A237B"/>
    <w:rsid w:val="002A32E0"/>
    <w:rsid w:val="002A36AC"/>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58A"/>
    <w:rsid w:val="002B7D5C"/>
    <w:rsid w:val="002C060D"/>
    <w:rsid w:val="002C0DCE"/>
    <w:rsid w:val="002C14C2"/>
    <w:rsid w:val="002C1603"/>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303"/>
    <w:rsid w:val="002F359D"/>
    <w:rsid w:val="002F3FDE"/>
    <w:rsid w:val="002F435A"/>
    <w:rsid w:val="002F4391"/>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07762"/>
    <w:rsid w:val="00307EE9"/>
    <w:rsid w:val="0031143A"/>
    <w:rsid w:val="00311F1B"/>
    <w:rsid w:val="00312466"/>
    <w:rsid w:val="00313275"/>
    <w:rsid w:val="00313E83"/>
    <w:rsid w:val="003175A1"/>
    <w:rsid w:val="003218C6"/>
    <w:rsid w:val="00322783"/>
    <w:rsid w:val="00322BCF"/>
    <w:rsid w:val="003243E3"/>
    <w:rsid w:val="00324698"/>
    <w:rsid w:val="00325558"/>
    <w:rsid w:val="00325771"/>
    <w:rsid w:val="00325E0E"/>
    <w:rsid w:val="00330D60"/>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E4A"/>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1B0"/>
    <w:rsid w:val="003B3C0F"/>
    <w:rsid w:val="003B4DD6"/>
    <w:rsid w:val="003B4F81"/>
    <w:rsid w:val="003B539A"/>
    <w:rsid w:val="003B5B6C"/>
    <w:rsid w:val="003B5F65"/>
    <w:rsid w:val="003B66F6"/>
    <w:rsid w:val="003B7854"/>
    <w:rsid w:val="003C16DA"/>
    <w:rsid w:val="003C41AE"/>
    <w:rsid w:val="003C5BA2"/>
    <w:rsid w:val="003D17C7"/>
    <w:rsid w:val="003D1B49"/>
    <w:rsid w:val="003D1CF3"/>
    <w:rsid w:val="003D207B"/>
    <w:rsid w:val="003D244B"/>
    <w:rsid w:val="003D2F57"/>
    <w:rsid w:val="003D4F6F"/>
    <w:rsid w:val="003D5104"/>
    <w:rsid w:val="003D56A4"/>
    <w:rsid w:val="003D6DA5"/>
    <w:rsid w:val="003E037B"/>
    <w:rsid w:val="003E33F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4B4"/>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12"/>
    <w:rsid w:val="00425FEF"/>
    <w:rsid w:val="00426919"/>
    <w:rsid w:val="00427085"/>
    <w:rsid w:val="00430927"/>
    <w:rsid w:val="00430A80"/>
    <w:rsid w:val="00430E44"/>
    <w:rsid w:val="00432DF0"/>
    <w:rsid w:val="00432E52"/>
    <w:rsid w:val="00433033"/>
    <w:rsid w:val="004333DA"/>
    <w:rsid w:val="00433B13"/>
    <w:rsid w:val="00434724"/>
    <w:rsid w:val="00434AD5"/>
    <w:rsid w:val="00434B6A"/>
    <w:rsid w:val="0043666A"/>
    <w:rsid w:val="00436F24"/>
    <w:rsid w:val="0043774D"/>
    <w:rsid w:val="00437B11"/>
    <w:rsid w:val="004405AC"/>
    <w:rsid w:val="004419AC"/>
    <w:rsid w:val="00444D51"/>
    <w:rsid w:val="004474C7"/>
    <w:rsid w:val="00450AD7"/>
    <w:rsid w:val="00450C15"/>
    <w:rsid w:val="004514AB"/>
    <w:rsid w:val="00452F13"/>
    <w:rsid w:val="00454B1E"/>
    <w:rsid w:val="004557A1"/>
    <w:rsid w:val="00455E1B"/>
    <w:rsid w:val="00460A6D"/>
    <w:rsid w:val="00461552"/>
    <w:rsid w:val="00463D40"/>
    <w:rsid w:val="004647A3"/>
    <w:rsid w:val="00464C5E"/>
    <w:rsid w:val="0046509D"/>
    <w:rsid w:val="00465B8D"/>
    <w:rsid w:val="00465BE4"/>
    <w:rsid w:val="00467A1C"/>
    <w:rsid w:val="00470095"/>
    <w:rsid w:val="00470D19"/>
    <w:rsid w:val="004711F3"/>
    <w:rsid w:val="00473D86"/>
    <w:rsid w:val="00474855"/>
    <w:rsid w:val="00476249"/>
    <w:rsid w:val="004768DF"/>
    <w:rsid w:val="00480247"/>
    <w:rsid w:val="00483B35"/>
    <w:rsid w:val="00483D65"/>
    <w:rsid w:val="00484663"/>
    <w:rsid w:val="0048530B"/>
    <w:rsid w:val="00485B85"/>
    <w:rsid w:val="00486758"/>
    <w:rsid w:val="00486B53"/>
    <w:rsid w:val="00486C77"/>
    <w:rsid w:val="00487AFB"/>
    <w:rsid w:val="00490235"/>
    <w:rsid w:val="0049168C"/>
    <w:rsid w:val="00493986"/>
    <w:rsid w:val="00493E0A"/>
    <w:rsid w:val="00494A74"/>
    <w:rsid w:val="00494B67"/>
    <w:rsid w:val="00494DD1"/>
    <w:rsid w:val="00496413"/>
    <w:rsid w:val="00497D52"/>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36D"/>
    <w:rsid w:val="004D2730"/>
    <w:rsid w:val="004D3416"/>
    <w:rsid w:val="004D5810"/>
    <w:rsid w:val="004D6484"/>
    <w:rsid w:val="004D7C53"/>
    <w:rsid w:val="004E4F56"/>
    <w:rsid w:val="004E51B5"/>
    <w:rsid w:val="004F0C55"/>
    <w:rsid w:val="004F276F"/>
    <w:rsid w:val="004F48E8"/>
    <w:rsid w:val="004F5354"/>
    <w:rsid w:val="005005E2"/>
    <w:rsid w:val="00501CCF"/>
    <w:rsid w:val="00502021"/>
    <w:rsid w:val="00502833"/>
    <w:rsid w:val="00502C8A"/>
    <w:rsid w:val="00502F7A"/>
    <w:rsid w:val="0050461D"/>
    <w:rsid w:val="00504B4A"/>
    <w:rsid w:val="00505115"/>
    <w:rsid w:val="0050553F"/>
    <w:rsid w:val="00505C53"/>
    <w:rsid w:val="00506C48"/>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EFF"/>
    <w:rsid w:val="00561537"/>
    <w:rsid w:val="00563224"/>
    <w:rsid w:val="00563432"/>
    <w:rsid w:val="005653F4"/>
    <w:rsid w:val="00566FDB"/>
    <w:rsid w:val="00570082"/>
    <w:rsid w:val="00571BA3"/>
    <w:rsid w:val="005722D9"/>
    <w:rsid w:val="005733AF"/>
    <w:rsid w:val="00574200"/>
    <w:rsid w:val="00574C66"/>
    <w:rsid w:val="005758ED"/>
    <w:rsid w:val="00575D67"/>
    <w:rsid w:val="00576C68"/>
    <w:rsid w:val="00576ED8"/>
    <w:rsid w:val="005774C5"/>
    <w:rsid w:val="00577857"/>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7DC"/>
    <w:rsid w:val="005F4B1C"/>
    <w:rsid w:val="005F4D8C"/>
    <w:rsid w:val="005F7A89"/>
    <w:rsid w:val="005F7AC4"/>
    <w:rsid w:val="00601397"/>
    <w:rsid w:val="006016A1"/>
    <w:rsid w:val="0060224F"/>
    <w:rsid w:val="00602D74"/>
    <w:rsid w:val="0060378D"/>
    <w:rsid w:val="00603B3F"/>
    <w:rsid w:val="00605595"/>
    <w:rsid w:val="0060639F"/>
    <w:rsid w:val="006066A3"/>
    <w:rsid w:val="00606B61"/>
    <w:rsid w:val="00606B99"/>
    <w:rsid w:val="006072BA"/>
    <w:rsid w:val="00607831"/>
    <w:rsid w:val="00610D24"/>
    <w:rsid w:val="00610F28"/>
    <w:rsid w:val="00610F42"/>
    <w:rsid w:val="00611327"/>
    <w:rsid w:val="0061167D"/>
    <w:rsid w:val="00611927"/>
    <w:rsid w:val="00612981"/>
    <w:rsid w:val="00612E55"/>
    <w:rsid w:val="00613220"/>
    <w:rsid w:val="00613384"/>
    <w:rsid w:val="00613C9D"/>
    <w:rsid w:val="00613DE8"/>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3F8D"/>
    <w:rsid w:val="00664677"/>
    <w:rsid w:val="00666926"/>
    <w:rsid w:val="00666CB6"/>
    <w:rsid w:val="00671EA4"/>
    <w:rsid w:val="006736BC"/>
    <w:rsid w:val="006746D5"/>
    <w:rsid w:val="0067532A"/>
    <w:rsid w:val="00675752"/>
    <w:rsid w:val="006770B7"/>
    <w:rsid w:val="006801E4"/>
    <w:rsid w:val="00681989"/>
    <w:rsid w:val="00682EAF"/>
    <w:rsid w:val="006833E2"/>
    <w:rsid w:val="00683A9D"/>
    <w:rsid w:val="00683DB5"/>
    <w:rsid w:val="00685A4F"/>
    <w:rsid w:val="006878AC"/>
    <w:rsid w:val="00690B2A"/>
    <w:rsid w:val="006936EF"/>
    <w:rsid w:val="006943E9"/>
    <w:rsid w:val="00694F26"/>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4C9C"/>
    <w:rsid w:val="006E5C5F"/>
    <w:rsid w:val="006E5EE5"/>
    <w:rsid w:val="006E6B58"/>
    <w:rsid w:val="006E7195"/>
    <w:rsid w:val="006E7DC6"/>
    <w:rsid w:val="006F0E83"/>
    <w:rsid w:val="006F13BA"/>
    <w:rsid w:val="006F2251"/>
    <w:rsid w:val="006F2FC8"/>
    <w:rsid w:val="006F344F"/>
    <w:rsid w:val="006F3CBF"/>
    <w:rsid w:val="006F531C"/>
    <w:rsid w:val="006F53B6"/>
    <w:rsid w:val="006F7123"/>
    <w:rsid w:val="0070013E"/>
    <w:rsid w:val="00700BAE"/>
    <w:rsid w:val="00702413"/>
    <w:rsid w:val="00702929"/>
    <w:rsid w:val="00702E5A"/>
    <w:rsid w:val="00703034"/>
    <w:rsid w:val="007032D7"/>
    <w:rsid w:val="007055F4"/>
    <w:rsid w:val="00705948"/>
    <w:rsid w:val="00705ADE"/>
    <w:rsid w:val="007066F4"/>
    <w:rsid w:val="00706CAC"/>
    <w:rsid w:val="00707D5E"/>
    <w:rsid w:val="00707F76"/>
    <w:rsid w:val="00711F61"/>
    <w:rsid w:val="007130D4"/>
    <w:rsid w:val="00714103"/>
    <w:rsid w:val="00714E43"/>
    <w:rsid w:val="00717C33"/>
    <w:rsid w:val="007201B1"/>
    <w:rsid w:val="00722E52"/>
    <w:rsid w:val="007245FC"/>
    <w:rsid w:val="007250B7"/>
    <w:rsid w:val="007274CB"/>
    <w:rsid w:val="0072785A"/>
    <w:rsid w:val="00730E27"/>
    <w:rsid w:val="007312A3"/>
    <w:rsid w:val="00732794"/>
    <w:rsid w:val="00732D3A"/>
    <w:rsid w:val="007335CD"/>
    <w:rsid w:val="00733903"/>
    <w:rsid w:val="00733D39"/>
    <w:rsid w:val="00735A3B"/>
    <w:rsid w:val="00736F5F"/>
    <w:rsid w:val="00737894"/>
    <w:rsid w:val="007379F5"/>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F6E"/>
    <w:rsid w:val="00752CD3"/>
    <w:rsid w:val="00753427"/>
    <w:rsid w:val="0075345B"/>
    <w:rsid w:val="0075419A"/>
    <w:rsid w:val="00754AD6"/>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AE5"/>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8DE"/>
    <w:rsid w:val="00795F60"/>
    <w:rsid w:val="007963A0"/>
    <w:rsid w:val="00796DBC"/>
    <w:rsid w:val="007976D7"/>
    <w:rsid w:val="007A24F7"/>
    <w:rsid w:val="007A316E"/>
    <w:rsid w:val="007A426C"/>
    <w:rsid w:val="007A5D75"/>
    <w:rsid w:val="007A6D5E"/>
    <w:rsid w:val="007A725A"/>
    <w:rsid w:val="007A746E"/>
    <w:rsid w:val="007A7701"/>
    <w:rsid w:val="007B169A"/>
    <w:rsid w:val="007B1CB8"/>
    <w:rsid w:val="007B1E95"/>
    <w:rsid w:val="007B1EF4"/>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A7C"/>
    <w:rsid w:val="007D33C4"/>
    <w:rsid w:val="007D3472"/>
    <w:rsid w:val="007D366D"/>
    <w:rsid w:val="007D4EBE"/>
    <w:rsid w:val="007D5868"/>
    <w:rsid w:val="007D61F4"/>
    <w:rsid w:val="007D6CAB"/>
    <w:rsid w:val="007D7851"/>
    <w:rsid w:val="007E038D"/>
    <w:rsid w:val="007E0819"/>
    <w:rsid w:val="007E08A2"/>
    <w:rsid w:val="007E2561"/>
    <w:rsid w:val="007E260C"/>
    <w:rsid w:val="007E270F"/>
    <w:rsid w:val="007E364A"/>
    <w:rsid w:val="007E37DE"/>
    <w:rsid w:val="007E3C99"/>
    <w:rsid w:val="007E4153"/>
    <w:rsid w:val="007E41AF"/>
    <w:rsid w:val="007E4EE3"/>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4E7"/>
    <w:rsid w:val="00822032"/>
    <w:rsid w:val="008247E4"/>
    <w:rsid w:val="0082488A"/>
    <w:rsid w:val="0082674B"/>
    <w:rsid w:val="00826897"/>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F3A"/>
    <w:rsid w:val="00846048"/>
    <w:rsid w:val="0084684C"/>
    <w:rsid w:val="008472B1"/>
    <w:rsid w:val="00850568"/>
    <w:rsid w:val="0085060B"/>
    <w:rsid w:val="00850E84"/>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473"/>
    <w:rsid w:val="0087096F"/>
    <w:rsid w:val="008709CF"/>
    <w:rsid w:val="00872A9A"/>
    <w:rsid w:val="008731FF"/>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66D"/>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765"/>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5BA"/>
    <w:rsid w:val="009262A8"/>
    <w:rsid w:val="00926863"/>
    <w:rsid w:val="00926D7F"/>
    <w:rsid w:val="009307C9"/>
    <w:rsid w:val="0093086E"/>
    <w:rsid w:val="00931F08"/>
    <w:rsid w:val="00932230"/>
    <w:rsid w:val="0093344C"/>
    <w:rsid w:val="009338F2"/>
    <w:rsid w:val="00933F3C"/>
    <w:rsid w:val="00934657"/>
    <w:rsid w:val="00936356"/>
    <w:rsid w:val="009370E9"/>
    <w:rsid w:val="00937D9B"/>
    <w:rsid w:val="009408B9"/>
    <w:rsid w:val="00940E65"/>
    <w:rsid w:val="0094115B"/>
    <w:rsid w:val="009462FE"/>
    <w:rsid w:val="00946B7A"/>
    <w:rsid w:val="00946D94"/>
    <w:rsid w:val="009471BC"/>
    <w:rsid w:val="00947C11"/>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4FC"/>
    <w:rsid w:val="00974581"/>
    <w:rsid w:val="009745EE"/>
    <w:rsid w:val="00976106"/>
    <w:rsid w:val="00976B54"/>
    <w:rsid w:val="00977578"/>
    <w:rsid w:val="00977BA5"/>
    <w:rsid w:val="009805DC"/>
    <w:rsid w:val="00981000"/>
    <w:rsid w:val="009818E7"/>
    <w:rsid w:val="00981AD6"/>
    <w:rsid w:val="0098226E"/>
    <w:rsid w:val="00982B65"/>
    <w:rsid w:val="00984D24"/>
    <w:rsid w:val="00984DBA"/>
    <w:rsid w:val="0098594F"/>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201"/>
    <w:rsid w:val="009B6F1E"/>
    <w:rsid w:val="009B761C"/>
    <w:rsid w:val="009B7EAD"/>
    <w:rsid w:val="009C00BE"/>
    <w:rsid w:val="009C1A3E"/>
    <w:rsid w:val="009C2808"/>
    <w:rsid w:val="009C2DDC"/>
    <w:rsid w:val="009C3714"/>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62F"/>
    <w:rsid w:val="00A24664"/>
    <w:rsid w:val="00A24FC1"/>
    <w:rsid w:val="00A25205"/>
    <w:rsid w:val="00A25C17"/>
    <w:rsid w:val="00A2613C"/>
    <w:rsid w:val="00A26AA0"/>
    <w:rsid w:val="00A272EF"/>
    <w:rsid w:val="00A301E4"/>
    <w:rsid w:val="00A31198"/>
    <w:rsid w:val="00A323BB"/>
    <w:rsid w:val="00A33284"/>
    <w:rsid w:val="00A34E4A"/>
    <w:rsid w:val="00A36344"/>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FF1"/>
    <w:rsid w:val="00A55B96"/>
    <w:rsid w:val="00A565D0"/>
    <w:rsid w:val="00A56BE5"/>
    <w:rsid w:val="00A56DE0"/>
    <w:rsid w:val="00A57E93"/>
    <w:rsid w:val="00A60DA8"/>
    <w:rsid w:val="00A6137C"/>
    <w:rsid w:val="00A615A6"/>
    <w:rsid w:val="00A623D0"/>
    <w:rsid w:val="00A631EB"/>
    <w:rsid w:val="00A64152"/>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1BAB"/>
    <w:rsid w:val="00AA38F6"/>
    <w:rsid w:val="00AA4965"/>
    <w:rsid w:val="00AA6DDB"/>
    <w:rsid w:val="00AB0830"/>
    <w:rsid w:val="00AB2CCC"/>
    <w:rsid w:val="00AB3C54"/>
    <w:rsid w:val="00AB4F2C"/>
    <w:rsid w:val="00AB64F8"/>
    <w:rsid w:val="00AC285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0B9"/>
    <w:rsid w:val="00AE2662"/>
    <w:rsid w:val="00AE3CBD"/>
    <w:rsid w:val="00AE5D21"/>
    <w:rsid w:val="00AE742E"/>
    <w:rsid w:val="00AE7A5C"/>
    <w:rsid w:val="00AE7C5F"/>
    <w:rsid w:val="00AF08A8"/>
    <w:rsid w:val="00AF2019"/>
    <w:rsid w:val="00AF26B7"/>
    <w:rsid w:val="00AF2F29"/>
    <w:rsid w:val="00AF30FD"/>
    <w:rsid w:val="00AF3FC6"/>
    <w:rsid w:val="00AF4B5F"/>
    <w:rsid w:val="00AF4F16"/>
    <w:rsid w:val="00AF5B6E"/>
    <w:rsid w:val="00AF73BD"/>
    <w:rsid w:val="00AF79AE"/>
    <w:rsid w:val="00B006E5"/>
    <w:rsid w:val="00B00CFD"/>
    <w:rsid w:val="00B01374"/>
    <w:rsid w:val="00B01F74"/>
    <w:rsid w:val="00B02343"/>
    <w:rsid w:val="00B03475"/>
    <w:rsid w:val="00B03E4A"/>
    <w:rsid w:val="00B04200"/>
    <w:rsid w:val="00B0479E"/>
    <w:rsid w:val="00B048EF"/>
    <w:rsid w:val="00B04FD1"/>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AE3"/>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6F9"/>
    <w:rsid w:val="00B720BA"/>
    <w:rsid w:val="00B733B0"/>
    <w:rsid w:val="00B745B3"/>
    <w:rsid w:val="00B74F7D"/>
    <w:rsid w:val="00B753A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A0A"/>
    <w:rsid w:val="00B93871"/>
    <w:rsid w:val="00B93EA9"/>
    <w:rsid w:val="00B944C1"/>
    <w:rsid w:val="00B9495C"/>
    <w:rsid w:val="00B94A0E"/>
    <w:rsid w:val="00B95827"/>
    <w:rsid w:val="00B95988"/>
    <w:rsid w:val="00BA01DD"/>
    <w:rsid w:val="00BA08E0"/>
    <w:rsid w:val="00BA118E"/>
    <w:rsid w:val="00BA1D39"/>
    <w:rsid w:val="00BA3247"/>
    <w:rsid w:val="00BA32B2"/>
    <w:rsid w:val="00BA4481"/>
    <w:rsid w:val="00BA4FFC"/>
    <w:rsid w:val="00BA5207"/>
    <w:rsid w:val="00BA5A30"/>
    <w:rsid w:val="00BA6260"/>
    <w:rsid w:val="00BA62BE"/>
    <w:rsid w:val="00BA6901"/>
    <w:rsid w:val="00BA72DC"/>
    <w:rsid w:val="00BA76F5"/>
    <w:rsid w:val="00BA7960"/>
    <w:rsid w:val="00BA7F63"/>
    <w:rsid w:val="00BA7FD0"/>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486"/>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8C2"/>
    <w:rsid w:val="00BF20B8"/>
    <w:rsid w:val="00BF2BCA"/>
    <w:rsid w:val="00BF4357"/>
    <w:rsid w:val="00BF5C1D"/>
    <w:rsid w:val="00BF5C7E"/>
    <w:rsid w:val="00BF5CAB"/>
    <w:rsid w:val="00BF6293"/>
    <w:rsid w:val="00BF6E4C"/>
    <w:rsid w:val="00BF71E9"/>
    <w:rsid w:val="00BF71F1"/>
    <w:rsid w:val="00BF76DF"/>
    <w:rsid w:val="00BF7CB5"/>
    <w:rsid w:val="00C01031"/>
    <w:rsid w:val="00C01384"/>
    <w:rsid w:val="00C01AF9"/>
    <w:rsid w:val="00C0274C"/>
    <w:rsid w:val="00C02F33"/>
    <w:rsid w:val="00C107B9"/>
    <w:rsid w:val="00C1090B"/>
    <w:rsid w:val="00C10DD0"/>
    <w:rsid w:val="00C13017"/>
    <w:rsid w:val="00C136CE"/>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0ADA"/>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52D"/>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609"/>
    <w:rsid w:val="00D05269"/>
    <w:rsid w:val="00D056E9"/>
    <w:rsid w:val="00D07A89"/>
    <w:rsid w:val="00D11732"/>
    <w:rsid w:val="00D12870"/>
    <w:rsid w:val="00D1407E"/>
    <w:rsid w:val="00D147C0"/>
    <w:rsid w:val="00D14DD0"/>
    <w:rsid w:val="00D15332"/>
    <w:rsid w:val="00D15379"/>
    <w:rsid w:val="00D15775"/>
    <w:rsid w:val="00D15989"/>
    <w:rsid w:val="00D15E8F"/>
    <w:rsid w:val="00D16508"/>
    <w:rsid w:val="00D166A9"/>
    <w:rsid w:val="00D16C1B"/>
    <w:rsid w:val="00D1763B"/>
    <w:rsid w:val="00D177DF"/>
    <w:rsid w:val="00D17F95"/>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1F8"/>
    <w:rsid w:val="00D637B2"/>
    <w:rsid w:val="00D6386F"/>
    <w:rsid w:val="00D66DDD"/>
    <w:rsid w:val="00D67EB7"/>
    <w:rsid w:val="00D70367"/>
    <w:rsid w:val="00D7165D"/>
    <w:rsid w:val="00D7554F"/>
    <w:rsid w:val="00D765DD"/>
    <w:rsid w:val="00D76854"/>
    <w:rsid w:val="00D80C46"/>
    <w:rsid w:val="00D818DF"/>
    <w:rsid w:val="00D825A8"/>
    <w:rsid w:val="00D83201"/>
    <w:rsid w:val="00D8337E"/>
    <w:rsid w:val="00D8342A"/>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7B4"/>
    <w:rsid w:val="00DA68EE"/>
    <w:rsid w:val="00DA6F09"/>
    <w:rsid w:val="00DA7A9F"/>
    <w:rsid w:val="00DB02EB"/>
    <w:rsid w:val="00DB05E4"/>
    <w:rsid w:val="00DB1960"/>
    <w:rsid w:val="00DB1E72"/>
    <w:rsid w:val="00DB21C2"/>
    <w:rsid w:val="00DB2C4B"/>
    <w:rsid w:val="00DB2CAA"/>
    <w:rsid w:val="00DB4C6F"/>
    <w:rsid w:val="00DB61E7"/>
    <w:rsid w:val="00DB6C3C"/>
    <w:rsid w:val="00DC18A5"/>
    <w:rsid w:val="00DC1D8C"/>
    <w:rsid w:val="00DC231D"/>
    <w:rsid w:val="00DC31BF"/>
    <w:rsid w:val="00DC33EF"/>
    <w:rsid w:val="00DC4911"/>
    <w:rsid w:val="00DC5FB7"/>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9B4"/>
    <w:rsid w:val="00E03A10"/>
    <w:rsid w:val="00E03F7B"/>
    <w:rsid w:val="00E04C04"/>
    <w:rsid w:val="00E054E4"/>
    <w:rsid w:val="00E10810"/>
    <w:rsid w:val="00E11F06"/>
    <w:rsid w:val="00E121D3"/>
    <w:rsid w:val="00E122B2"/>
    <w:rsid w:val="00E12745"/>
    <w:rsid w:val="00E127AB"/>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005"/>
    <w:rsid w:val="00E321EB"/>
    <w:rsid w:val="00E32892"/>
    <w:rsid w:val="00E330BA"/>
    <w:rsid w:val="00E34DED"/>
    <w:rsid w:val="00E368E8"/>
    <w:rsid w:val="00E36D6E"/>
    <w:rsid w:val="00E37C8B"/>
    <w:rsid w:val="00E37ECE"/>
    <w:rsid w:val="00E405B9"/>
    <w:rsid w:val="00E41941"/>
    <w:rsid w:val="00E425D4"/>
    <w:rsid w:val="00E43229"/>
    <w:rsid w:val="00E454C9"/>
    <w:rsid w:val="00E50076"/>
    <w:rsid w:val="00E50761"/>
    <w:rsid w:val="00E509D9"/>
    <w:rsid w:val="00E50B13"/>
    <w:rsid w:val="00E51B16"/>
    <w:rsid w:val="00E554A3"/>
    <w:rsid w:val="00E56917"/>
    <w:rsid w:val="00E573C2"/>
    <w:rsid w:val="00E579FC"/>
    <w:rsid w:val="00E603D8"/>
    <w:rsid w:val="00E60CA5"/>
    <w:rsid w:val="00E612A3"/>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998"/>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7C3"/>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8C8"/>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045"/>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6BC2"/>
    <w:rsid w:val="00F774EE"/>
    <w:rsid w:val="00F77EB8"/>
    <w:rsid w:val="00F83EB5"/>
    <w:rsid w:val="00F843CB"/>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1E5"/>
    <w:rsid w:val="00FA2D54"/>
    <w:rsid w:val="00FA38D8"/>
    <w:rsid w:val="00FA4B8D"/>
    <w:rsid w:val="00FA6DED"/>
    <w:rsid w:val="00FA76DF"/>
    <w:rsid w:val="00FA78EA"/>
    <w:rsid w:val="00FB5A70"/>
    <w:rsid w:val="00FC0689"/>
    <w:rsid w:val="00FC13F0"/>
    <w:rsid w:val="00FC337B"/>
    <w:rsid w:val="00FC4023"/>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ListBullet">
    <w:name w:val="List Bullet"/>
    <w:basedOn w:val="Normal"/>
    <w:uiPriority w:val="99"/>
    <w:unhideWhenUsed/>
    <w:rsid w:val="002F4391"/>
    <w:pPr>
      <w:numPr>
        <w:numId w:val="4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041646">
      <w:bodyDiv w:val="1"/>
      <w:marLeft w:val="0"/>
      <w:marRight w:val="0"/>
      <w:marTop w:val="0"/>
      <w:marBottom w:val="0"/>
      <w:divBdr>
        <w:top w:val="none" w:sz="0" w:space="0" w:color="auto"/>
        <w:left w:val="none" w:sz="0" w:space="0" w:color="auto"/>
        <w:bottom w:val="none" w:sz="0" w:space="0" w:color="auto"/>
        <w:right w:val="none" w:sz="0" w:space="0" w:color="auto"/>
      </w:divBdr>
    </w:div>
    <w:div w:id="86777354">
      <w:bodyDiv w:val="1"/>
      <w:marLeft w:val="0"/>
      <w:marRight w:val="0"/>
      <w:marTop w:val="0"/>
      <w:marBottom w:val="0"/>
      <w:divBdr>
        <w:top w:val="none" w:sz="0" w:space="0" w:color="auto"/>
        <w:left w:val="none" w:sz="0" w:space="0" w:color="auto"/>
        <w:bottom w:val="none" w:sz="0" w:space="0" w:color="auto"/>
        <w:right w:val="none" w:sz="0" w:space="0" w:color="auto"/>
      </w:divBdr>
      <w:divsChild>
        <w:div w:id="360593635">
          <w:marLeft w:val="0"/>
          <w:marRight w:val="0"/>
          <w:marTop w:val="0"/>
          <w:marBottom w:val="0"/>
          <w:divBdr>
            <w:top w:val="none" w:sz="0" w:space="0" w:color="auto"/>
            <w:left w:val="none" w:sz="0" w:space="0" w:color="auto"/>
            <w:bottom w:val="none" w:sz="0" w:space="0" w:color="auto"/>
            <w:right w:val="none" w:sz="0" w:space="0" w:color="auto"/>
          </w:divBdr>
        </w:div>
      </w:divsChild>
    </w:div>
    <w:div w:id="112410131">
      <w:bodyDiv w:val="1"/>
      <w:marLeft w:val="0"/>
      <w:marRight w:val="0"/>
      <w:marTop w:val="0"/>
      <w:marBottom w:val="0"/>
      <w:divBdr>
        <w:top w:val="none" w:sz="0" w:space="0" w:color="auto"/>
        <w:left w:val="none" w:sz="0" w:space="0" w:color="auto"/>
        <w:bottom w:val="none" w:sz="0" w:space="0" w:color="auto"/>
        <w:right w:val="none" w:sz="0" w:space="0" w:color="auto"/>
      </w:divBdr>
      <w:divsChild>
        <w:div w:id="1890803639">
          <w:marLeft w:val="0"/>
          <w:marRight w:val="0"/>
          <w:marTop w:val="0"/>
          <w:marBottom w:val="0"/>
          <w:divBdr>
            <w:top w:val="none" w:sz="0" w:space="0" w:color="auto"/>
            <w:left w:val="none" w:sz="0" w:space="0" w:color="auto"/>
            <w:bottom w:val="none" w:sz="0" w:space="0" w:color="auto"/>
            <w:right w:val="none" w:sz="0" w:space="0" w:color="auto"/>
          </w:divBdr>
        </w:div>
      </w:divsChild>
    </w:div>
    <w:div w:id="47614650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7064607">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7922077">
      <w:bodyDiv w:val="1"/>
      <w:marLeft w:val="0"/>
      <w:marRight w:val="0"/>
      <w:marTop w:val="0"/>
      <w:marBottom w:val="0"/>
      <w:divBdr>
        <w:top w:val="none" w:sz="0" w:space="0" w:color="auto"/>
        <w:left w:val="none" w:sz="0" w:space="0" w:color="auto"/>
        <w:bottom w:val="none" w:sz="0" w:space="0" w:color="auto"/>
        <w:right w:val="none" w:sz="0" w:space="0" w:color="auto"/>
      </w:divBdr>
      <w:divsChild>
        <w:div w:id="867370422">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352234">
      <w:bodyDiv w:val="1"/>
      <w:marLeft w:val="0"/>
      <w:marRight w:val="0"/>
      <w:marTop w:val="0"/>
      <w:marBottom w:val="0"/>
      <w:divBdr>
        <w:top w:val="none" w:sz="0" w:space="0" w:color="auto"/>
        <w:left w:val="none" w:sz="0" w:space="0" w:color="auto"/>
        <w:bottom w:val="none" w:sz="0" w:space="0" w:color="auto"/>
        <w:right w:val="none" w:sz="0" w:space="0" w:color="auto"/>
      </w:divBdr>
      <w:divsChild>
        <w:div w:id="1649282457">
          <w:marLeft w:val="0"/>
          <w:marRight w:val="0"/>
          <w:marTop w:val="0"/>
          <w:marBottom w:val="0"/>
          <w:divBdr>
            <w:top w:val="none" w:sz="0" w:space="0" w:color="auto"/>
            <w:left w:val="none" w:sz="0" w:space="0" w:color="auto"/>
            <w:bottom w:val="none" w:sz="0" w:space="0" w:color="auto"/>
            <w:right w:val="none" w:sz="0" w:space="0" w:color="auto"/>
          </w:divBdr>
        </w:div>
      </w:divsChild>
    </w:div>
    <w:div w:id="980690864">
      <w:bodyDiv w:val="1"/>
      <w:marLeft w:val="0"/>
      <w:marRight w:val="0"/>
      <w:marTop w:val="0"/>
      <w:marBottom w:val="0"/>
      <w:divBdr>
        <w:top w:val="none" w:sz="0" w:space="0" w:color="auto"/>
        <w:left w:val="none" w:sz="0" w:space="0" w:color="auto"/>
        <w:bottom w:val="none" w:sz="0" w:space="0" w:color="auto"/>
        <w:right w:val="none" w:sz="0" w:space="0" w:color="auto"/>
      </w:divBdr>
      <w:divsChild>
        <w:div w:id="1732733357">
          <w:marLeft w:val="0"/>
          <w:marRight w:val="0"/>
          <w:marTop w:val="0"/>
          <w:marBottom w:val="0"/>
          <w:divBdr>
            <w:top w:val="none" w:sz="0" w:space="0" w:color="auto"/>
            <w:left w:val="none" w:sz="0" w:space="0" w:color="auto"/>
            <w:bottom w:val="none" w:sz="0" w:space="0" w:color="auto"/>
            <w:right w:val="none" w:sz="0" w:space="0" w:color="auto"/>
          </w:divBdr>
        </w:div>
      </w:divsChild>
    </w:div>
    <w:div w:id="1008556850">
      <w:bodyDiv w:val="1"/>
      <w:marLeft w:val="0"/>
      <w:marRight w:val="0"/>
      <w:marTop w:val="0"/>
      <w:marBottom w:val="0"/>
      <w:divBdr>
        <w:top w:val="none" w:sz="0" w:space="0" w:color="auto"/>
        <w:left w:val="none" w:sz="0" w:space="0" w:color="auto"/>
        <w:bottom w:val="none" w:sz="0" w:space="0" w:color="auto"/>
        <w:right w:val="none" w:sz="0" w:space="0" w:color="auto"/>
      </w:divBdr>
      <w:divsChild>
        <w:div w:id="287008119">
          <w:marLeft w:val="0"/>
          <w:marRight w:val="0"/>
          <w:marTop w:val="0"/>
          <w:marBottom w:val="0"/>
          <w:divBdr>
            <w:top w:val="none" w:sz="0" w:space="0" w:color="auto"/>
            <w:left w:val="none" w:sz="0" w:space="0" w:color="auto"/>
            <w:bottom w:val="none" w:sz="0" w:space="0" w:color="auto"/>
            <w:right w:val="none" w:sz="0" w:space="0" w:color="auto"/>
          </w:divBdr>
        </w:div>
      </w:divsChild>
    </w:div>
    <w:div w:id="1018702803">
      <w:bodyDiv w:val="1"/>
      <w:marLeft w:val="0"/>
      <w:marRight w:val="0"/>
      <w:marTop w:val="0"/>
      <w:marBottom w:val="0"/>
      <w:divBdr>
        <w:top w:val="none" w:sz="0" w:space="0" w:color="auto"/>
        <w:left w:val="none" w:sz="0" w:space="0" w:color="auto"/>
        <w:bottom w:val="none" w:sz="0" w:space="0" w:color="auto"/>
        <w:right w:val="none" w:sz="0" w:space="0" w:color="auto"/>
      </w:divBdr>
      <w:divsChild>
        <w:div w:id="675502848">
          <w:marLeft w:val="0"/>
          <w:marRight w:val="0"/>
          <w:marTop w:val="0"/>
          <w:marBottom w:val="0"/>
          <w:divBdr>
            <w:top w:val="none" w:sz="0" w:space="0" w:color="auto"/>
            <w:left w:val="none" w:sz="0" w:space="0" w:color="auto"/>
            <w:bottom w:val="none" w:sz="0" w:space="0" w:color="auto"/>
            <w:right w:val="none" w:sz="0" w:space="0" w:color="auto"/>
          </w:divBdr>
        </w:div>
      </w:divsChild>
    </w:div>
    <w:div w:id="1144657486">
      <w:bodyDiv w:val="1"/>
      <w:marLeft w:val="0"/>
      <w:marRight w:val="0"/>
      <w:marTop w:val="0"/>
      <w:marBottom w:val="0"/>
      <w:divBdr>
        <w:top w:val="none" w:sz="0" w:space="0" w:color="auto"/>
        <w:left w:val="none" w:sz="0" w:space="0" w:color="auto"/>
        <w:bottom w:val="none" w:sz="0" w:space="0" w:color="auto"/>
        <w:right w:val="none" w:sz="0" w:space="0" w:color="auto"/>
      </w:divBdr>
      <w:divsChild>
        <w:div w:id="84961546">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792006">
      <w:bodyDiv w:val="1"/>
      <w:marLeft w:val="0"/>
      <w:marRight w:val="0"/>
      <w:marTop w:val="0"/>
      <w:marBottom w:val="0"/>
      <w:divBdr>
        <w:top w:val="none" w:sz="0" w:space="0" w:color="auto"/>
        <w:left w:val="none" w:sz="0" w:space="0" w:color="auto"/>
        <w:bottom w:val="none" w:sz="0" w:space="0" w:color="auto"/>
        <w:right w:val="none" w:sz="0" w:space="0" w:color="auto"/>
      </w:divBdr>
      <w:divsChild>
        <w:div w:id="1082489296">
          <w:marLeft w:val="0"/>
          <w:marRight w:val="0"/>
          <w:marTop w:val="0"/>
          <w:marBottom w:val="0"/>
          <w:divBdr>
            <w:top w:val="none" w:sz="0" w:space="0" w:color="auto"/>
            <w:left w:val="none" w:sz="0" w:space="0" w:color="auto"/>
            <w:bottom w:val="none" w:sz="0" w:space="0" w:color="auto"/>
            <w:right w:val="none" w:sz="0" w:space="0" w:color="auto"/>
          </w:divBdr>
        </w:div>
      </w:divsChild>
    </w:div>
    <w:div w:id="1519850293">
      <w:bodyDiv w:val="1"/>
      <w:marLeft w:val="0"/>
      <w:marRight w:val="0"/>
      <w:marTop w:val="0"/>
      <w:marBottom w:val="0"/>
      <w:divBdr>
        <w:top w:val="none" w:sz="0" w:space="0" w:color="auto"/>
        <w:left w:val="none" w:sz="0" w:space="0" w:color="auto"/>
        <w:bottom w:val="none" w:sz="0" w:space="0" w:color="auto"/>
        <w:right w:val="none" w:sz="0" w:space="0" w:color="auto"/>
      </w:divBdr>
      <w:divsChild>
        <w:div w:id="1929538213">
          <w:marLeft w:val="0"/>
          <w:marRight w:val="0"/>
          <w:marTop w:val="0"/>
          <w:marBottom w:val="0"/>
          <w:divBdr>
            <w:top w:val="none" w:sz="0" w:space="0" w:color="auto"/>
            <w:left w:val="none" w:sz="0" w:space="0" w:color="auto"/>
            <w:bottom w:val="none" w:sz="0" w:space="0" w:color="auto"/>
            <w:right w:val="none" w:sz="0" w:space="0" w:color="auto"/>
          </w:divBdr>
        </w:div>
      </w:divsChild>
    </w:div>
    <w:div w:id="1547981779">
      <w:bodyDiv w:val="1"/>
      <w:marLeft w:val="0"/>
      <w:marRight w:val="0"/>
      <w:marTop w:val="0"/>
      <w:marBottom w:val="0"/>
      <w:divBdr>
        <w:top w:val="none" w:sz="0" w:space="0" w:color="auto"/>
        <w:left w:val="none" w:sz="0" w:space="0" w:color="auto"/>
        <w:bottom w:val="none" w:sz="0" w:space="0" w:color="auto"/>
        <w:right w:val="none" w:sz="0" w:space="0" w:color="auto"/>
      </w:divBdr>
      <w:divsChild>
        <w:div w:id="775752847">
          <w:marLeft w:val="0"/>
          <w:marRight w:val="0"/>
          <w:marTop w:val="0"/>
          <w:marBottom w:val="0"/>
          <w:divBdr>
            <w:top w:val="none" w:sz="0" w:space="0" w:color="auto"/>
            <w:left w:val="none" w:sz="0" w:space="0" w:color="auto"/>
            <w:bottom w:val="none" w:sz="0" w:space="0" w:color="auto"/>
            <w:right w:val="none" w:sz="0" w:space="0" w:color="auto"/>
          </w:divBdr>
        </w:div>
      </w:divsChild>
    </w:div>
    <w:div w:id="1553812368">
      <w:bodyDiv w:val="1"/>
      <w:marLeft w:val="0"/>
      <w:marRight w:val="0"/>
      <w:marTop w:val="0"/>
      <w:marBottom w:val="0"/>
      <w:divBdr>
        <w:top w:val="none" w:sz="0" w:space="0" w:color="auto"/>
        <w:left w:val="none" w:sz="0" w:space="0" w:color="auto"/>
        <w:bottom w:val="none" w:sz="0" w:space="0" w:color="auto"/>
        <w:right w:val="none" w:sz="0" w:space="0" w:color="auto"/>
      </w:divBdr>
      <w:divsChild>
        <w:div w:id="1969386780">
          <w:marLeft w:val="0"/>
          <w:marRight w:val="0"/>
          <w:marTop w:val="0"/>
          <w:marBottom w:val="0"/>
          <w:divBdr>
            <w:top w:val="none" w:sz="0" w:space="0" w:color="auto"/>
            <w:left w:val="none" w:sz="0" w:space="0" w:color="auto"/>
            <w:bottom w:val="none" w:sz="0" w:space="0" w:color="auto"/>
            <w:right w:val="none" w:sz="0" w:space="0" w:color="auto"/>
          </w:divBdr>
        </w:div>
      </w:divsChild>
    </w:div>
    <w:div w:id="1602372904">
      <w:bodyDiv w:val="1"/>
      <w:marLeft w:val="0"/>
      <w:marRight w:val="0"/>
      <w:marTop w:val="0"/>
      <w:marBottom w:val="0"/>
      <w:divBdr>
        <w:top w:val="none" w:sz="0" w:space="0" w:color="auto"/>
        <w:left w:val="none" w:sz="0" w:space="0" w:color="auto"/>
        <w:bottom w:val="none" w:sz="0" w:space="0" w:color="auto"/>
        <w:right w:val="none" w:sz="0" w:space="0" w:color="auto"/>
      </w:divBdr>
      <w:divsChild>
        <w:div w:id="1698698511">
          <w:marLeft w:val="0"/>
          <w:marRight w:val="0"/>
          <w:marTop w:val="0"/>
          <w:marBottom w:val="0"/>
          <w:divBdr>
            <w:top w:val="none" w:sz="0" w:space="0" w:color="auto"/>
            <w:left w:val="none" w:sz="0" w:space="0" w:color="auto"/>
            <w:bottom w:val="none" w:sz="0" w:space="0" w:color="auto"/>
            <w:right w:val="none" w:sz="0" w:space="0" w:color="auto"/>
          </w:divBdr>
        </w:div>
      </w:divsChild>
    </w:div>
    <w:div w:id="1647512917">
      <w:bodyDiv w:val="1"/>
      <w:marLeft w:val="0"/>
      <w:marRight w:val="0"/>
      <w:marTop w:val="0"/>
      <w:marBottom w:val="0"/>
      <w:divBdr>
        <w:top w:val="none" w:sz="0" w:space="0" w:color="auto"/>
        <w:left w:val="none" w:sz="0" w:space="0" w:color="auto"/>
        <w:bottom w:val="none" w:sz="0" w:space="0" w:color="auto"/>
        <w:right w:val="none" w:sz="0" w:space="0" w:color="auto"/>
      </w:divBdr>
      <w:divsChild>
        <w:div w:id="1793085575">
          <w:marLeft w:val="0"/>
          <w:marRight w:val="0"/>
          <w:marTop w:val="0"/>
          <w:marBottom w:val="0"/>
          <w:divBdr>
            <w:top w:val="none" w:sz="0" w:space="0" w:color="auto"/>
            <w:left w:val="none" w:sz="0" w:space="0" w:color="auto"/>
            <w:bottom w:val="none" w:sz="0" w:space="0" w:color="auto"/>
            <w:right w:val="none" w:sz="0" w:space="0" w:color="auto"/>
          </w:divBdr>
        </w:div>
      </w:divsChild>
    </w:div>
    <w:div w:id="1771462319">
      <w:bodyDiv w:val="1"/>
      <w:marLeft w:val="0"/>
      <w:marRight w:val="0"/>
      <w:marTop w:val="0"/>
      <w:marBottom w:val="0"/>
      <w:divBdr>
        <w:top w:val="none" w:sz="0" w:space="0" w:color="auto"/>
        <w:left w:val="none" w:sz="0" w:space="0" w:color="auto"/>
        <w:bottom w:val="none" w:sz="0" w:space="0" w:color="auto"/>
        <w:right w:val="none" w:sz="0" w:space="0" w:color="auto"/>
      </w:divBdr>
      <w:divsChild>
        <w:div w:id="1961715792">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7376613">
      <w:bodyDiv w:val="1"/>
      <w:marLeft w:val="0"/>
      <w:marRight w:val="0"/>
      <w:marTop w:val="0"/>
      <w:marBottom w:val="0"/>
      <w:divBdr>
        <w:top w:val="none" w:sz="0" w:space="0" w:color="auto"/>
        <w:left w:val="none" w:sz="0" w:space="0" w:color="auto"/>
        <w:bottom w:val="none" w:sz="0" w:space="0" w:color="auto"/>
        <w:right w:val="none" w:sz="0" w:space="0" w:color="auto"/>
      </w:divBdr>
      <w:divsChild>
        <w:div w:id="1313025070">
          <w:marLeft w:val="0"/>
          <w:marRight w:val="0"/>
          <w:marTop w:val="0"/>
          <w:marBottom w:val="0"/>
          <w:divBdr>
            <w:top w:val="none" w:sz="0" w:space="0" w:color="auto"/>
            <w:left w:val="none" w:sz="0" w:space="0" w:color="auto"/>
            <w:bottom w:val="none" w:sz="0" w:space="0" w:color="auto"/>
            <w:right w:val="none" w:sz="0" w:space="0" w:color="auto"/>
          </w:divBdr>
        </w:div>
      </w:divsChild>
    </w:div>
    <w:div w:id="1934508771">
      <w:bodyDiv w:val="1"/>
      <w:marLeft w:val="0"/>
      <w:marRight w:val="0"/>
      <w:marTop w:val="0"/>
      <w:marBottom w:val="0"/>
      <w:divBdr>
        <w:top w:val="none" w:sz="0" w:space="0" w:color="auto"/>
        <w:left w:val="none" w:sz="0" w:space="0" w:color="auto"/>
        <w:bottom w:val="none" w:sz="0" w:space="0" w:color="auto"/>
        <w:right w:val="none" w:sz="0" w:space="0" w:color="auto"/>
      </w:divBdr>
      <w:divsChild>
        <w:div w:id="154951840">
          <w:marLeft w:val="0"/>
          <w:marRight w:val="0"/>
          <w:marTop w:val="0"/>
          <w:marBottom w:val="0"/>
          <w:divBdr>
            <w:top w:val="none" w:sz="0" w:space="0" w:color="auto"/>
            <w:left w:val="none" w:sz="0" w:space="0" w:color="auto"/>
            <w:bottom w:val="none" w:sz="0" w:space="0" w:color="auto"/>
            <w:right w:val="none" w:sz="0" w:space="0" w:color="auto"/>
          </w:divBdr>
        </w:div>
      </w:divsChild>
    </w:div>
    <w:div w:id="1941987268">
      <w:bodyDiv w:val="1"/>
      <w:marLeft w:val="0"/>
      <w:marRight w:val="0"/>
      <w:marTop w:val="0"/>
      <w:marBottom w:val="0"/>
      <w:divBdr>
        <w:top w:val="none" w:sz="0" w:space="0" w:color="auto"/>
        <w:left w:val="none" w:sz="0" w:space="0" w:color="auto"/>
        <w:bottom w:val="none" w:sz="0" w:space="0" w:color="auto"/>
        <w:right w:val="none" w:sz="0" w:space="0" w:color="auto"/>
      </w:divBdr>
      <w:divsChild>
        <w:div w:id="515506696">
          <w:marLeft w:val="0"/>
          <w:marRight w:val="0"/>
          <w:marTop w:val="0"/>
          <w:marBottom w:val="0"/>
          <w:divBdr>
            <w:top w:val="none" w:sz="0" w:space="0" w:color="auto"/>
            <w:left w:val="none" w:sz="0" w:space="0" w:color="auto"/>
            <w:bottom w:val="none" w:sz="0" w:space="0" w:color="auto"/>
            <w:right w:val="none" w:sz="0" w:space="0" w:color="auto"/>
          </w:divBdr>
        </w:div>
      </w:divsChild>
    </w:div>
    <w:div w:id="202947799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eader" Target="header3.xml"/><Relationship Id="rId26" Type="http://schemas.openxmlformats.org/officeDocument/2006/relationships/hyperlink" Target="https://web.archive.org/web/20240701/https://www.ifrs.org/groups/international-sustainability-standards-board/" TargetMode="External"/><Relationship Id="rId3" Type="http://schemas.openxmlformats.org/officeDocument/2006/relationships/customXml" Target="../customXml/item2.xml"/><Relationship Id="rId21" Type="http://schemas.openxmlformats.org/officeDocument/2006/relationships/hyperlink" Target="https://web.archive.org/web/20220928125853/https://www.bankofengland.co.uk/-/media/boe/files/events/2022/june/climate-biennial-exploratory-scenario-slides.pdf"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2.xml"/><Relationship Id="rId25" Type="http://schemas.openxmlformats.org/officeDocument/2006/relationships/hyperlink" Target="https://www.fsb.org/uploads/P131022-1.pdf" TargetMode="External"/><Relationship Id="rId33"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oter" Target="footer1.xml"/><Relationship Id="rId20" Type="http://schemas.openxmlformats.org/officeDocument/2006/relationships/hyperlink" Target="https://web.archive.org/web/20250606214419/https://www.bankofengland.co.uk/stress-testing/2022/results-of-the-2021-climate-biennial-exploratory-scenario" TargetMode="External"/><Relationship Id="rId29" Type="http://schemas.openxmlformats.org/officeDocument/2006/relationships/hyperlink" Target="https://web.archive.org/web/20210525141827/https://www.gov.uk/guidance/energy-performance-of-buildings-certificates-notes-and-definitions" TargetMode="Externa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bis.org/fsi/fsibriefs18.pdf" TargetMode="External"/><Relationship Id="rId32"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header" Target="header2.xml"/><Relationship Id="rId23" Type="http://schemas.openxmlformats.org/officeDocument/2006/relationships/hyperlink" Target="https://web.archive.org/web/20250107120814/https:/www.bankofengland.co.uk/prudential-regulation/publication/2023/report-on-climate-related-risks-and-the-regulatory-capital-frameworks" TargetMode="External"/><Relationship Id="rId28" Type="http://schemas.openxmlformats.org/officeDocument/2006/relationships/hyperlink" Target="https://web.archive.org/web/20240701/https://ghgprotocol.org/" TargetMode="External"/><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header" Target="header4.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eb.archive.org/web/20250405151731/https:/www.bankofengland.co.uk/-/media/boe/files/prudential-regulation/supervisory-statement/2019/ss319" TargetMode="External"/><Relationship Id="rId27" Type="http://schemas.openxmlformats.org/officeDocument/2006/relationships/hyperlink" Target="https://web.archive.org/web/20250116143154/https://www.fca.org.uk/publication/corporate/climate-financial-risk-forum-guide-2020-risk-management-chapter.pdf" TargetMode="External"/><Relationship Id="rId30" Type="http://schemas.openxmlformats.org/officeDocument/2006/relationships/hyperlink" Target="https://web.archive.org/web/20250405151731/https://www.bankofengland.co.uk/-/media/boe/files/prudential-regulation/supervisory-statement/2019/ss319" TargetMode="External"/><Relationship Id="rId8" Type="http://schemas.openxmlformats.org/officeDocument/2006/relationships/settings" Target="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113</Pages>
  <Words>22352</Words>
  <Characters>133892</Characters>
  <Application>Microsoft Office Word</Application>
  <DocSecurity>0</DocSecurity>
  <Lines>8368</Lines>
  <Paragraphs>4882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7</cp:revision>
  <cp:lastPrinted>2025-03-21T00:14:00Z</cp:lastPrinted>
  <dcterms:created xsi:type="dcterms:W3CDTF">2025-07-22T17:59:00Z</dcterms:created>
  <dcterms:modified xsi:type="dcterms:W3CDTF">2025-07-22T19:31:00Z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